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93.3600 vom 17. Juni 1994</w:t>
      </w:r>
    </w:p>
    <w:p>
      <w:r>
        <w:t>Bundesverwaltung, 1994-06-17, DE</w:t>
      </w:r>
    </w:p>
    <w:p>
      <w:r>
        <w:rPr>
          <w:b/>
        </w:rPr>
        <w:t xml:space="preserve">Quelle: </w:t>
      </w:r>
      <w:r>
        <w:t>https://mcp.opencaselaw.ch/entscheid/ch_vb_93.3600</w:t>
      </w:r>
    </w:p>
    <w:p>
      <w:r>
        <w:t>FR: CH_VB 93.3600 du 17 juin 1994</w:t>
      </w:r>
    </w:p>
    <w:p>
      <w:r>
        <w:t>IT: CH_VB 93.3600 del 17 giugno 1994</w:t>
      </w:r>
    </w:p>
    <w:p>
      <w:pPr>
        <w:pStyle w:val="Heading2"/>
      </w:pPr>
      <w:r>
        <w:t>Erwägungen</w:t>
      </w:r>
    </w:p>
    <w:p>
      <w:r>
        <w:rPr>
          <w:b/>
        </w:rPr>
        <w:t>E. 17</w:t>
      </w:r>
    </w:p>
    <w:p>
      <w:r>
        <w:t>juin 1994 Pendant combien de temps tolérera-t-il que les milieux crimi- nels étrangers voient en la Suisse - et plus particulièrement en la ville de Zurich - un endroit où ils peuvent s'adonner à des activités répréhensibles très lucratives sans prendre beau- coup de risques? Mitunterzeichner-Cosignataires: Bezzola, Binder, Bortoluzzi, BührerGerold, Cincera, Dettling, Fehr, Fischer-Seengen, Frey Walter, Fritschi Oscar, Früh, Giger, Gysin, Heberlein, Heget- schweiler, Loeb François, Mauch Rolf, Maurer, Miesch, Rei- mann Maximilian, Rychen, Spoerry, Steinegger, Steiner Ru- dolf, Stucky, Tschuppert Karl, Verterli, Wanner, Wittenwiler (29) Schriftliche Begründung - Développement par écrit Der Bundesrat dürfte wissen, dass Kantone aus Mangel an Gefängnisplätzen «Notentlassungen» vornehmen. Er dürfte darüber im Bild sein, dass mangels Platz in Polizeigefängnis- sen polizeilich ausgeschriebene Delinquenten gar nicht mehr angehalten werden. Er dürfte wissen, dass Delinquenten nach ihrer Verhaftung wieder freigelassen werden und weiter delin- quieren. Er dürfte wissen, dass sich Polizeibehörden überle- gen, ob es unter solchen Umständen überhaupt noch einen Sinn hat, grössere Verhaftungsaktionen in die Wege zu leiten. Weil anzunehmen ist, dass der Bundesrat diese Tatbestände kennt, erübrigt sich eine weitere Begründung, da wir nicht glauben, der Bundesrat gedenke zuzusehen, wie sich das ausländische Verbrechermilieu unbehindert und unbestraft in der Schweiz breitmachen kann. Schriftliche Stellungnahme des Bundesrates vom 28. Februar 1994 Rapport écrit du Conseil fédéral du 28 février 1994 Es ist kaum zu bestreiten, dass die voll belegten Vollzugsan- stalten und die insbesondere in den grösseren Städten seit längerer Zeit überfüllten Polizei- und Untersuchungsgefäng- nisse die Kantone bei der Strafverfolgung vor grosse Schwie- rigkeiten stellen. Selbst wenn es schwer hält, das Ausmass der Überbelegung von Strafvollzugsanstalten und Untersu- chungsgefängnissen genau zu bestimmen, handelt es sich um einen Notstand, der mit den Prinzipien des Rechtsstaates nur schwer zu vereinbaren ist Indessen ist darauf hinzuwei- sen, dass das Problem nicht ausschliesslich beim ungenü- genden Raumangebot der Gefängnisse liegt Aufwendige Strafverfahren und ungenügende personelle und materielle Ausstattung der Justizbehörden können einen negativen Ein- fluss auf die Dauer der Untersuchungshaft haben. Die Überbe- legung der Untersuchungsgefängnisse ist ferner zum Teil auch damit zu erklären, dass sie Personen beherbergen, die auf ihren Strafantritt oder die Ausschaffung warten. Das Pro- blem hat also vielfältige Ursachen und bedarf zu seiner Lö- sung daher auch verschiedener Massnahmen. 1. Der Bundesrat hält mit aller Deutlichkeit fest, dass er gewillt ist, die Kantone im Rahmen seiner Möglichkeiten bei der Lö- sung der erwähnten Probleme zu unterstützen. Indessen muss er daran erinnern, dass nach Artikel 64bis Absatz 2 der Bundesverfassung sowohl die gesetzliche Regelung als auch die Durchführung des Strafverfahrens, eingeschlossen die Untersuchungshaft, Sache der Kantone sind. Das bedeutet, dass die Kantone bei Wahl und Anwendung der für das Funk- tionieren der Strafjustiz notwendigen Mittel weitgehend auto- nom sind. Die Zuständigkeit der Kantone ist freilich nicht unbe- grenzt; sie ermächtigt sie nicht, dem Bundesrecht widerspre- chende Massnahmen zu treffen (Art. 2 BV-Übergangsbestim- mungen). Sie erlaubt ihnen noch weniger, auf ihre Aufgaben im Justizbereich zu verzichten und so die Anwendung des Bundesrechts in Frage zu stellen. Aber auch der Straf- und Massnahmenvollzug liegt weitge- hend in der Kompetenz der Kantone. Allerdings ist hier der Bund zumindest zur gesetzlichen Regelung von Grundsätzen befugt, und er hat von dieser Kompetenz teilweise Gebrauch gemacht. Im übrigen unterstützt der Bund die Kantone finanzi- ell beim Um- und Neubau der Anstalten (Art. 64bis Abs. 3 BV; BG vom 5.10.1984 über die Leistungen des Bundes für den Straf- und Massnahmenvollzug). 2. Konkret sieht der Bundesrat keinen Raum für ausserordent- liche Massnahmen oder Notrecht Denn der Voranschlag des Bundes - worauf wir noch zurückkommen - erlaubt es dem Bundesrat nicht, den Kantonen sofort eine über das bereits vorgesehene Ausmass hinausgehende finanzielle Hilfe auszu- richten. Ferner ist der Bundesrat nicht in der Lage, innert kür- zester Zeit eine Lösung für das Problem der fehlenden Räum- lichkeiten zu finden, namentlich weil man den Bürger nicht sei- ner Mitbeteiligungsrechte im öffentlichen Baurecht berauben kann. Um zur Lösung des Problems der überfüllten Vollzugsanstal- ten oder Untersuchungsgefängnisse beizutragen, beabsich- tigt der Bundesrat, folgende Massnahmen gesetzgeberischer bzw. administrativer Art zu ergreifen, oder hat sie bereits er- griffen: - Der Bund wird den Bau von neuen Strafvollzugseinrichtun- gen weiterhin subventionieren; wir rufen in Erinnerung, dass der Bundesrat 1993 über ein Budget von 27 Millionen Franken verfügte, um Subventionen für neue Bauten zu bewilligen. Die eingereichten Anträge der Kantone erreichten bloss 23 Millio- nen Franken. - Die Arbeitsgruppe «Vollzugsunterstützung» des Bundesam- tes für Flüchtlinge, die sich aus Vertretern des Bundes und der Kantone zusammensetzt, wird bis Ende Februar 1994 dem Vorsteher des EJPD Lösungsvorschläge für eine sinnvolle Un- terstützung der Kantone durch den Bund betreffend die Zwangsmassnahmen im Ausländerrecht, namentlich die Vor- bereitungshaft und die verlängerte Ausschaffungshaft, unter- breiten. National- und Ständerat werden voraussichtlich in der Frühjahrssession 1994 entscheiden können, wie der Bund den Kantonen helfen soll. - Die Expertenkommission, die sich mit dem Anliegen des Postulates Gadient vom 3. März 1992 («Krise im Straf- und Massnahmenvollzug») befasst, wird dem Bundesrat ihren Be- richt, der den Ist-Zustand im Straf- und Massnahmenvollzug sowie in der Untersuchungshaft beschreibt und den Hand- lungsbedarf abklärt, voraussichtlich bis Ende 1994 unterbrei- ten. Es empfiehlt sich in der Tat, gestützt auf zuverlässige Infor- mationen ein genaues und vertieftes Bild der Situation zu er- halten und sich nicht auf vage Informationen zu verlassen. Ob- wohl sich die Situation in der Zwischenzeit zugespitzt hat, ist an dieser Stelle hervorzuheben, dass das Postulat Gadient analoge Probleme, wie sie in der vorliegenden Motion ange- sprochen werden, in einer breiteren Perspektive aufgreift - Der Bundesrat hat im Juli 1993 einen Vorenwurf zur Revision des gesamten Allgemeinen Teils des Strafgesetzbuches in die Vernehmlassung geschickt. Eines der Ziele dieses Vorentwur- fes ist es, die kurzen Freiheitsstrafen durch andere Sanktionen zu ersetzen. Es liegt auf der Hand, dass mit der Einführung ei- ner solchen Lösung die bisherfür den Vollzug kurzer Freiheits- strafen verwendeten Gefängnisplätze zu anderen Zwecken zur Verfügung stehen könnten. Ob der Bundesrat diese Mög- lichkeit dem Parlament schlussendlich unterbreiten wird, ist in- dessen derzeit offen. Zusammenfassend können wir dem Verfasser und den Mitun- terzeichnern der Interpellation versichern, dass der Bundesrat der von ihnen aufgeworfenen ernsten und wichtigen Frage grosse Beachtung schenkt Jede Intervention in diesem Be- reich muss jedoch auf einer klaren und vertieften Analyse der Situation beruhen und die verfassungsmässige Ordnung, ins- besondere die Prinzipien des Föderalismus, respektieren.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Allenspach Gewährleistung des Rechtsstaates Interpellation Allenspach Garantie de l'Etat de droit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93.3600 Numéro d'objet Numero dell'oggetto Datum 17.06.1994 - 08:00 Date Data Seite 1223-1224 Page Pagina Ref. No</w:t>
      </w:r>
    </w:p>
    <w:p>
      <w:r>
        <w:rPr>
          <w:b/>
        </w:rPr>
        <w:t>E. 20</w:t>
      </w:r>
    </w:p>
    <w:p>
      <w:r>
        <w:t>024 218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