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93.3543 vom 17. Juni 1994</w:t>
      </w:r>
    </w:p>
    <w:p>
      <w:r>
        <w:t>Bundesverwaltung, 1994-06-17, DE</w:t>
      </w:r>
    </w:p>
    <w:p>
      <w:r>
        <w:rPr>
          <w:b/>
        </w:rPr>
        <w:t xml:space="preserve">Quelle: </w:t>
      </w:r>
      <w:r>
        <w:t>https://mcp.opencaselaw.ch/entscheid/ch_vb_93.3543</w:t>
      </w:r>
    </w:p>
    <w:p>
      <w:r>
        <w:t>FR: CH_VB 93.3543 du 17 juin 1994</w:t>
      </w:r>
    </w:p>
    <w:p>
      <w:r>
        <w:t>IT: CH_VB 93.3543 del 17 giugno 1994</w:t>
      </w:r>
    </w:p>
    <w:p>
      <w:pPr>
        <w:pStyle w:val="Heading2"/>
      </w:pPr>
      <w:r>
        <w:t>Erwägungen</w:t>
      </w:r>
    </w:p>
    <w:p>
      <w:r>
        <w:rPr>
          <w:b/>
        </w:rPr>
        <w:t>E. 17</w:t>
      </w:r>
    </w:p>
    <w:p>
      <w:r>
        <w:t>juin 1994 lieh bis zum Tod des Verurteilten. Allerdings ist bei Bewährung frühestens nach Verbüssung von 10 Jahren die Versetzung in eine freier geführte Anstalt möglich (Art. 37 Ziff. 3 Abs. 2 StGB). Nach Verbüssung von mindestens 15 Jahren kann der Verurteilte ferner bedingt entlassen werden, aber nur, wenn sein Verhalten während des Strafvollzuges nicht dagegen spricht und - insbesondere - wenn anzunehmen ist, er werde sich in der Freiheit bewähren (Art. 38 Ziff. 1 StGB). Demzu- folge dürfen zu lebenslänglicher Zuchthausstrafe Verurteilte nicht aus dem geschlossenen Strafvollzug entlassen werden, solange sie - und sei es bis an ihr Lebensende - eine Gefahr für die öffentliche Sicherheit darstellen. Eine analoge Rege- lung gilt für die Verwahrung von Wiederholungstätern und die Massnahmen an geistig Abnormen. Auch ist festzuhalten, dass ein eigentliches Recht des Gefangenen auf Urlaub weder im Strafgesetzbuch noch in den entsprechenden Zusatzver- ordnungen des Bundes vorgesehen ist Die zuständigen Voll- zugsbehörden der Kantone gewähren die Hafturlaube auf- grund kantonalen Rechts und nach Massgabe entsprechen- der Richtlinien der drei Strafvollzugs-Konkordate. Für den Vollzug der Strafen und Massnahmen sind, gestützt auf Artikel 64bis der Bundesverfassung, die Kantone zustän- dig. Die kantonalen Vollzugsbehörden entscheiden, ob einem Straftäter Hafturlaub gewährt werden soll. Sie beurteilen im Zeitpunkt einer möglichen Entlassung, ob sich ein Verurteilter in der Freiheit bewähren wird, und entscheiden, ob er aus dem Straf- oder Massnahmenvollzug entlassen werden kann. Die Verantwortung für den Schutz der Bevölkerung vor inhaftierten gefährlichen Straftätern liegt somit heute weitgehend bei den kantonalen Strafvollzugsbehörden. Diese sind zurzeit be- kanntlich intensiv darum bemüht, ihre Praxis bei der Gewäh- rung von Hafturlauben und bedingten Entlassungen zu über- prüfen und zu verbessern. Die mit der Motion geforderte Gesetzesänderung hätte zur Folge, dass die Verantwortung für den Entscheid über den lebenslänglichen Freiheitsentzug vollumfänglich dem Richter zugeschoben würde. Er müsste schon im Urteilsstadium endgültig beurteilen, ob ein Straftäter so gefährlich ist und bleibt, dass er sein Leben lang inhaftiert werden muss. Indes- sen ist zu diesem Zeitpunkt in der Regel nicht vorauszuse- hen, wie sich der Betreffende im Verlaufe von 15 und mehr Jahren entwickeln wird. Trotzdem würden künftig dem Verur- teilten von Beginn weg die Fähigkeit und der Wille zur Verän- derung generell abgesprochen und ihm damit jede konstruk- tive Lebensperspektive entzogen. Eine Gesetzesänderung im Sinne der Motion könnte deshalb leicht dazu führen, dass die Richter nur noch äusserst zurückhaltend auf Mord ent- scheiden oder vermehrt Strafmilderungsgründe annehmen würden. Es ist hier daran zu erinnern, dass wegen ähnlicher Bedenken im Rahmen der am 1. Januar 1990 in Kraft getrete- nen Revision der Delikte gegen Leib und Leben der Arti- kel 112 StGB dahin gehend geändert wurde, dass bei Mord, sofern keine Strafmilderungsgründe vorliegen, nicht mehr zwingend eine lebenslängliche Zuchthausstrafe auszufällen ist Neu ist auch eine zeitlich begrenzte Zuchthausstrafe von mindestens 10 Jahren möglich. Die Motion verlangt die Einführung des effektiv lebenslängli- chen Freiheitsentzugs nur für bestimmte Kategorien von Mör- dern wie für «Triebtäter» oder «Kindsmörder». Diese Qualifizie- rungen sind einerseits unbestimmt (Triebtäter) und würden andererseits nur einen willkürlich ausgewählten Personen- kreis (Kinder, Polizei- und Strafvollzugsbeamte) besonders schützen. Das hätte die für das schweizerische Strafrecht un- gewöhnliche Folge, dass das Leben bestimmter Personen hö- her bewertet würde als dasjenige der übrigen Bevölkerung. Im übrigen ist nach Artikel 112 des Strafgesetzbuches der Mord eine besonders skrupellose vorsätzliche Tötung und damit selber schon ein qualifizierter Tatbestand, derim Einzelfall hei- kle Anwendungsprobleme stellen kann. Der Tatbestand sollte schon deshalb nicht noch weiter qualifiziert werden. Das Eidgenössische Justiz- und Polizeidepartement hat im Sommer 1993 einen Expertenentwurf zur Revision des Allge- meinen Teils des Strafgesetzbuches in die Vernehmlassung geschickt Der Vorentwurf trägt den Anliegen der Motion Rech- nung, indem er neben der lebenslänglichen Freiheitsstrafe eine neue Form der Verwahrung vorsieht: Täter, die an einer tiefgreifenden Persönlichkeitsstörung leiden und die jeman- den körperlich, seelisch oder materiell schwer geschädigt ha- ben oder schädigen wollten, sollen - nachdem sie schuldan- gemessen bestraft worden sind - so lange verwahrt werden, als keine Gewähr besteht, dass sie in Freiheit nicht wieder de- linquieren. Die Expertenkommission hat damit eine differen- zierte Lösung präsentiert, die dem Sicherheitsaspekt der Sanktionen in sehr weitem Masse Rechnung trägt. Im Sinne dieser Erwägungen ist der Bundesrat bereit, die Mo- tion in Form eines Postulates entgegenzunehmen. Im Rah- men der laufenden Revision des Allgemeinen Teils des Straf- gesetzbuches soll einerseits eine Ergänzung des Gesetzes im Sinne der oben erläuterten neuen Form der Verwahrung ange- strebt und sollen andererseits die Bestimmungen über den Vollzug der Sanktionen (bedingte Entlassung, Hafturlaub) überprüft werden. Selbstverständlich sind dabei die Ergeb- nisse des Vernehmlassungsverfahrens gebührend zu berück- sichtigen. Schriftliche Erklärung des Bundesrates Déclaration écrite du Conseil fédéral Der Bundesrat beantragt, die Motion in ein Postulat umzuwan- deln. Präsidentin: Der Vorstoss wird von Herrn Rechsteiner be- kämpft Die Diskussion wird verschoben. Verschoben - Renvoyé #ST# 93.3657 Motion Carobbjp Kinderhandel. Änderung des StGB Mozione Carobbio Turismo pedpfilo e traffico di bambini. Modifica Codice penale Motion Carobbio Traite d'enfants. Modification du Code pénal Wortlaut der Motion vom 16. Dezember 1993 Zur wirksameren Bekämpfung des Pädophilie-Tourismus und des Kinderhandels, an denen im Ausland-z. B. auf den Philip- pinen - auch Schweizer beteiligt sind, verlangen die Unter- zeichnenden: 1. dass das Schweizerische Strafgesetzbuch geändert und um eine Bestimmung ergänzt wird, welche die Gerichte er- mächtigt, in der Schweiz wohnhafte Personen wegen sexuel- ler Handlungen mit Kindern und wegen Kinderhandels im Aus- land zu verurteilen, auch wenn diese Delikte in den Ländern, in denen sie begangen wurden, nicht strafbar sind; 2. dass die Schweiz so bald wie möglich das Uno-Überein- kommen von 1989 über die Rechte des Kindes ratifiziert Testo de//a mozione del 16 dicembre 1993 I sottoscritti, per combattere più efficacemente il turismo pedo- filo e il traffico di bambini in cui sono implicati all'estero - nelle Filippine ad esempio - anche degli svizzeri, chiedono: 1. che si modifichi il Codice penale svizzero, rafforzandolo, al fine di introdurre la competenza dei tribunali a giudicare i resi- denti svizzeri per abusi sessuali su bambini e per traffico di bambini commessi all'estero, anche quando quei crimini non sono punibili nei Paesi dove sono stati compiuti, 2. che la Svizzera ratifichi il più presto possibile la Conven- zione dell'ONU del 1989 relativa ai diritti del bambino.</w:t>
      </w:r>
    </w:p>
    <w:p>
      <w:r>
        <w:t>Schweizerisches Bundesarchiv, Digitale Amtsdruckschriften Archives fédérales suisses, Publications officielles numérisées Archivio federale svizzero, Pubblicazioni ufficiali digitali Motion Keller Rudolf Effektiv lebenslängliche Gefängnisstrafen Motion Keller Rudolf Condamnation à perpétuité effective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93.3543 Numéro d'objet Numero dell'oggetto Datum 17.06.1994 - 08:00 Date Data Seite 1173-1174 Page Pagina Ref. No</w:t>
      </w:r>
    </w:p>
    <w:p>
      <w:r>
        <w:rPr>
          <w:b/>
        </w:rPr>
        <w:t>E. 20</w:t>
      </w:r>
    </w:p>
    <w:p>
      <w:r>
        <w:t>024 161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