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93.3519 vom 17. Dezember 1993</w:t>
      </w:r>
    </w:p>
    <w:p>
      <w:r>
        <w:t>Bundesverwaltung, 1993-12-17, DE</w:t>
      </w:r>
    </w:p>
    <w:p>
      <w:r>
        <w:rPr>
          <w:b/>
        </w:rPr>
        <w:t xml:space="preserve">Quelle: </w:t>
      </w:r>
      <w:r>
        <w:t>https://mcp.opencaselaw.ch/entscheid/ch_vb_93.3519</w:t>
      </w:r>
    </w:p>
    <w:p>
      <w:r>
        <w:t>FR: CH_VB 93.3519 du 17 décembre 1993</w:t>
      </w:r>
    </w:p>
    <w:p>
      <w:r>
        <w:t>IT: CH_VB 93.3519 del 17 dicembre 1993</w:t>
      </w:r>
    </w:p>
    <w:p>
      <w:pPr>
        <w:pStyle w:val="Heading2"/>
      </w:pPr>
      <w:r>
        <w:t>Erwägungen</w:t>
      </w:r>
    </w:p>
    <w:p>
      <w:r>
        <w:rPr>
          <w:b/>
        </w:rPr>
        <w:t>E. 17</w:t>
      </w:r>
    </w:p>
    <w:p>
      <w:r>
        <w:t>Dezember 1993 N 2563 Interpellation Fischer-Seengen mieten würde. Die Besteuerung des Eigenmietwertes bildet das Gegenstück zur steuerlichen Nichtabziehbarkeit der Woh- nungsmiete (Art. 23 BdBSt und Art. 34 Bst. a DBG). Auf diese Gleichbehandlung der Mieter und der Eigentümer legt be- kanntlich auch das Bundesgericht grossen Wert. So hat es in einem Entscheid vom 9. November 1990 betreffend die berni- sche Staatssteuer festgehalten, dass der Mieter eines Einfami- lienhauses seinen - grundsätzlich nicht abzugsfähigen - Miet- zins steuerlich insoweit in Abzug bringen könne, als eine krasse Differenz zum steuerlich massgeblichen Eigenmietwert besteht, der dem Eigentümer eines gleichen Einfamilienhau- ses aufgerechnet wird (veröffentlicht in «Steuer Revue», Nr. 5/ 1991,5. 277). Die Eidgenössische Steuerverwaltung (ESTV) hat als Auf- sichtsbehörde für eine einheitliche Veranlagung der direkten Bundessteuer durch die Kantone zu sorgen. Zu diesem Zweck führt sie periodische Erhebungen über die Bemessung der Mietwerte in den Kantonen durch. Dabei werden die bei der Vermietung von Einfamilienhäusern und Eigentumswohnun- gen erzielten Mietzinse erfasst; sie entsprechen 100 Prozent des Marktwertes. Sodann werden diese Mietzinse den Miet- werten gegenübergestellt, die bei Selbstnutzung der gleichen Objekte in der kommenden Steuerperiode der Veranlagung zugrunde gelegt worden wären. Wenn sich aufgrund dieser Erhebung herausstellt, dass in einem bestimmten Kanton die Eigenmietwerte erheblich unter dem Marktwert liegen, muss die ESTV eingreifen. Nach der Praxis ist dies der Fall, wenn die Marke von 70 Prozent unterschritten wird. Die Modalitäten über Umfang, regionale Verteilung, Alter und Zahl der Objekte usw. werden jeweils vor der Erhebung unter Mitwirkung der kantonalen Verwaltungen festgelegt, so dass Beanstandungen über deren repräsentativen Gehalt in der Folge praktisch ausgeschlossen werden können. In einzelnen Fällen führt die kantonale Verwaltung die Erhebung sogar selbst durch. In jedem Fall hat die kantonale Verwaltung Gele- genheit, zu den Ergebnissen der von der ESTV durchgeführ- ten Erhebungen Stellung zu nehmen. Wo Kantone eigene Er- hebungen durchgeführt hatten, bestätigte sich immer wieder die praktische Uebereinstimmung der Ergebnisse. 2. Seit der Veranlagungsperiode 1985/86 wurden 20 Kantone aufgefordert, die Mietwerte für die direkte Bundessteuer den Marktwerten anzupassen. Einige Kantone wollten jeweils oh- nehin für die Staatssteuer Neuschätzungen durchführen, wäh- rend andere für die Staatssteuer das Marktwertprinzip verlies- sen, sei es wegen abweichender kantonaler Gesetzgebung oder anderen von den zuständigen Behörden zu vertretenden Gründen. Der Umfang der jeweils für die direkte Bundessteuer verlangten Anpassungen kann nicht in einer Durchschnitts- zahl beziffert werden, weil praktisch jeder Kanton ein anderes Vorgehen bei der Eigenmietwertfestsetzung kennt. Diese kan- tonalen Eigenheiten mussten jeweils berücksichtigt werden. Ziel der verlangten Anpassungen war aber überall, die er- wähnte Marke von 70 Prozent nicht zu unterschreiten. 3. Zurzeit kennen 13 Kantone einen unterschiedlichen Eigen- mietwertansatz für die Bundessteuer einerseits und die Kan- tonssteuer anderseits. Es handelt sich um die Kantone Aar- gau, Bern, Basel-Landschaft, Genf, Graubünden, Jura, Nid- waiden, Schwyz, Solothurn, Tessin, Waadt, Zug und Zürich. Die Einzelheiten gehen aus einem von der ESTV am 26. April 1993 veröffentlichten Rundschreiben hervor. 4. Der Eigenmietwert orientiert sich am jeweiligen Markt. Dazu gehören folgerichtig auch die Beschränkungen, die sich bei der Erhöhung der Mietzinsen nach Artikel 269ff. OR ergeben. Sind also solche mietrechtlichen Beschränkungen zu beach- ten, wirkt sich das auch auf den steuerlich massgeblichen Ei- genmietwert aus. 5. Die geltende Eigenmietwertbesteuerung ist kaum Ursache für die relativ tiefe Eigentumsquote in unserem Land. Denn ge- rade bei Neuerwerb von Eigentum wirkt sich die bei unserem System ebenfalls vorhandene Möglichkeit des Abzuges der Hypothekarzinsen sehr zugunsten des neuen Eigentümers aus. Bei starker Fremdfinanzierung und entsprechend hoher Zinsbelastung kann denn auch der Eigenmietwert weitgehend «neutralisiert» oder gar «negativ» werden. Wenn also die Ei- gentumsquote im Landesdurchschnitt nur bei rund 30 Pro- zent liegt, so sind die Gründe wohl eher bei den hohen Investi- tionskosten zu suchen, die wiederum ihre eigenen Ursachen (vorab Bodenknappheit und ein allgemein hohes Preis- und Lohnniveau in der Schweiz) haben. 6. Es trifft zu, dass im Steuerharmonisierungsgesetz (StHG) die Abzüge abschliessend geregelt sind und darunter weder ein Mietzinsabzug noch ein Abzug für selbstgenutztes Wohn- eigentum figurieren (Art. 9 StHG). Bisherige solche kantonale Abzüge sind daher unter dem Recht des Steuerharmonisie- rungsgesetzes nicht mehr zulässig. Andererseits ist jedoch in diesem Gesetz die Umschreibung des steuerlich aufzurech- nenden Eigenmietwertes sehr offen gehalten, spricht doch das Gesetz lediglich davon, dass «die Eigennutzung von Grundstücken» der Einkommenssteuer unterliegen soll (Art. 7 Abs. 1 StHG). Zwar wird sich im Hinblick auf die Rechtsgleich- heit zwischen Mietern und Eigentümern auch das kantonale Steuergesetz für den Eigenmietwert grundsätzlich am Markt- wert orientieren müssen (vgl. den unter Ziff. 1 zitierten Ent- scheid des Bundesgerichtes). Aber eine gewisse Flexibilität analog derjenigen, wie sie bei der direkten Bundessteuer an- erkannt ist (vgl. bei Ziff. 1), muss auch für das kantonale Recht zulässig sein. Es darf aber nicht unerwähnt bleiben, dass der Erwerb von Wohneigentum steuerlich konkret gefördert wird. Nach der bundesrätlichen Verordnung über die steuerliche Abzugsbe- rechtigung für Beiträge an anerkannte Vorsorgeformen (BW 3), die für die Einkommenssteuern von Bund, Kantonen und Gemeinden gilt, kann seit dem 1. Januar 1990 die auf die- sem Weg geäufnete Altersleistung vorzeitig bezogen werden, wenn ein Wohneigentum erworben oder eine darauf beste- hende Hypothek amortisiert werden soll. Die Abzugsmöglich- keiten im Rahmen der gebundenen Selbstvorsorge sind be- kanntlich grosszügig ausgestaltet. Ferner wird es das soeben verabschiedete Bundesgesetz über die Wohneigentumsför- derung mit Mitteln der beruflichen Vorsorge ermöglichen, auch die Vorsorgegelder der zweiten Säule für den Erwerb oder die Amortisation von Wohneigentum zu verwenden. Erklärung des Interpellanten: teilweise befriedigt Déclaration de l'interpellateur: partiellement satisfait #ST# 93.3226 Interpellation Fischer-Seengen Einsatz der Osteuropahilfe im Energiebereich Aide aux pays de l'Est dans le domaine de l'énergie Wortlaut der Interpellation vom 29. April 1993 Der Bundesrat wird um Beantwortung folgender Fragen gebeten: 1. Was hat der Bundesrat bisher im Sinne des Postulates vor- gekehrt, um zur Verbesserung der Sicherheit der osteuropäi- schen Kernkraftwerke beizutragen? Welche konkreten Pro- jektewerden unterstützt? 2. Welcher Anteil des Osteuropahilfe-Kredites wurde bisher zu diesem Zweck eingesetzt (Verpflichtungskredite, Zahlungs- kredite in Prozenten und Franken)? 3. Wie werden die Mittel des Osteuropahilfe-Kredites auf die Finanzhilfe und die technische Zusammenarbeit aufgeteilt? Nach welchen Kriterien erfolgt diese Aufteilung, welches sind die Entscheidungsmechanismen? 4. Wie gedenkt der Bundesrat, künftig die von ihm ausdrück- lich befürworteten Ziele meines Postulates (Botschaft 92.065, 5. 15) zu verwirklichen?</w:t>
      </w:r>
    </w:p>
    <w:p>
      <w:r>
        <w:t>Schweizerisches Bundesarchiv, Digitale Amtsdruckschriften Archives fédérales suisses, Publications officielles numérisées Archivio federale svizzero, Pubblicazioni ufficiali digitali Interpellation Dettling Eigenmietwertbesteuerung Interpellation Dettling Imposition de la valeur locative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93.3519 Numéro d'objet Numero dell'oggetto Datum 17.12.1993 - 08:00 Date Data Seite 2562-2563 Page Pagina Ref. No</w:t>
      </w:r>
    </w:p>
    <w:p>
      <w:r>
        <w:rPr>
          <w:b/>
        </w:rPr>
        <w:t>E. 20</w:t>
      </w:r>
    </w:p>
    <w:p>
      <w:r>
        <w:t>023 558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