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93.3458 vom 17. Dezember 1993</w:t>
      </w:r>
    </w:p>
    <w:p>
      <w:r>
        <w:t>Bundesverwaltung, 1993-12-17, DE</w:t>
      </w:r>
    </w:p>
    <w:p>
      <w:r>
        <w:rPr>
          <w:b/>
        </w:rPr>
        <w:t xml:space="preserve">Quelle: </w:t>
      </w:r>
      <w:r>
        <w:t>https://mcp.opencaselaw.ch/entscheid/ch_vb_93.3458</w:t>
      </w:r>
    </w:p>
    <w:p>
      <w:r>
        <w:t>FR: CH_VB 93.3458 du 17 décembre 1993</w:t>
      </w:r>
    </w:p>
    <w:p>
      <w:r>
        <w:t>IT: CH_VB 93.3458 del 17 dicembre 1993</w:t>
      </w:r>
    </w:p>
    <w:p>
      <w:pPr>
        <w:pStyle w:val="Heading2"/>
      </w:pPr>
      <w:r>
        <w:t>Erwägungen</w:t>
      </w:r>
    </w:p>
    <w:p>
      <w:r>
        <w:rPr>
          <w:b/>
        </w:rPr>
        <w:t>E. 17</w:t>
      </w:r>
    </w:p>
    <w:p>
      <w:r>
        <w:t>décembre 1993 lopper la distribution; elle contribue ainsi de façon non négli- geable à un approvisionnement sûr, tout en atténuant la crise économique. Au titre de nos efforts de revitalisation, nous avons adopté une série de mesures et de programmes destinés à favoriser les in- vestissements dans le pays. Mentionnons en particulier le pro- jet «Coordination des procédures de décision». Dans son do- maine spécifique, le programme «Energie 2000» donnera ef- fectivement des impulsions décisives: les principales activités menées à ce titre visent à créer des conditions générales qui sont favorables aux investissements dans l'utilisation ration- nelle de l'énergie et dans la promotion d'agents renouvela- bles. Cela se traduira par la création d'emplois dans des bran- ches d'avenir. Quant à notre projet «Coordination des procédures de déci- sion», il consiste présentement à étudier l'ensemble des pro- cessus de décision en vue des grands travaux qui nécessitent des superficies importantes. Il englobe la force hydraulique et le réseau des lignes électriques. Les résultats sont attendus pour 1994. Le programme «Energie 2000» comporte nombre d'objectifs et de mesures intéressant directement l'industrie de l'électri- cité. Au premier plan figure l'utilisation rationnelle de l'électri- cité, à laquelle cette branche peut contribuer notablement. Rappelons aussi l'objectif d'augmenter la production de cou- rant. En effet, par rapport à 1990, les énergies renouvelables devraient accroître leur apport à la satisfaction de la demande de 0,5 pour cent d'ici l'an 2000. De plus, la production hydroé- lectrique devra simultanément progresser de 5 pour cent Dans le domaine nucléaire, les cinq centrales existantes ver- ront leur puissance accrue de 10 pour cent en dix ans. Différents groupes de travail et de conciliation sont à l'oeuvre pour traduire dans la réalité les objectifs d'«Energie 2000» et pour susciter des conditions d'investissement favorables tant à l'économie qu'au particulier. Mentionnons ici le groupe d'ac- tion «Electricité» ainsi que les groupes de conciliation «Force hydraulique» et «Lignes à haute tension». Le troisième rapport annuel «Energie 2000» renseigne sur ces travaux et sur les au- tres activités conduites à l'enseigne du programme. Erklärung des Interpellanten: befriedigt Déclaration de l'interpellateur: satisfait #ST# 93.3458 Interpellation Zbinden Konferenz der Kantonsregierungen: Gründung; Meinung des Bundesrates Conférence des gouvernements cantonaux: motifs; opinion du Conseil fédéral Wortlaut der Interpellation vom 5. Oktober 1993 Am kommenden 8. Oktober 1993 soll in Bern die «Konferenz der schweizerischen Kantonsregierungen» ins Leben gerufen werden. Die neue Institution ist als Koordinations- und Kooperationsor- gan unter den Kantonen, aber auch als Gesprächskanal zum Bundesrat gedacht. Die Konferenz wird durch einen Kantonsvertreter oder eine Kantonsvertreterin präsidiert; sie fasst Beschlüsse und ent- scheidet über Stellungnahmen mit einem qualifizierten Mehr von 18 Stimmen; die Führung wird durch ein Exekutivgre- mium von 7 bis 9 Mitgliedern wahrgenommen. Diese Neugründung geschieht nicht im luftleeren konstitutio- nellen Raum; sie tangiert bereits bestehende Organe auf Kan- tons- und Bundesebene, die ähnliche Zwecke verfolgen. Da der Bundesrat - meines Wissens - nicht in das Planungs- prozedere einbezogen worden ist und mit dem sogenannten Kontaktgremium bereits ein Kooperationsorgan zwischen Bund und Kantonen geschaffen hat, möchte ich den Bundes- rat ersuchen, offiziell zu dieser Neugründung Stellung zu neh- men. Nicht zuletzt auch deshalb, weil Bundesrat und Parla- ment zurzeit daran sind, sich strukturell zu reformieren. Damit die Kantonsregierungen die Meinung des Bundesrates vor der Konstitution der Konferenz noch berücksichtigen kön- nen, bitte ich den Bundesrat zudem, die Interpellation so schnell wie möglich zu beantworten. Die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