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93.3441 vom 17. Dezember 1993</w:t>
      </w:r>
    </w:p>
    <w:p>
      <w:r>
        <w:t>Bundesverwaltung, 1993-12-17, DE</w:t>
      </w:r>
    </w:p>
    <w:p>
      <w:r>
        <w:rPr>
          <w:b/>
        </w:rPr>
        <w:t xml:space="preserve">Quelle: </w:t>
      </w:r>
      <w:r>
        <w:t>https://mcp.opencaselaw.ch/entscheid/ch_vb_93.3441</w:t>
      </w:r>
    </w:p>
    <w:p>
      <w:r>
        <w:t>FR: CH_VB 93.3441 du 17 décembre 1993</w:t>
      </w:r>
    </w:p>
    <w:p>
      <w:r>
        <w:t>IT: CH_VB 93.3441 del 17 dicembre 1993</w:t>
      </w:r>
    </w:p>
    <w:p>
      <w:pPr>
        <w:pStyle w:val="Heading2"/>
      </w:pPr>
      <w:r>
        <w:t>Erwägungen</w:t>
      </w:r>
    </w:p>
    <w:p>
      <w:r>
        <w:rPr>
          <w:b/>
        </w:rPr>
        <w:t>E. 17</w:t>
      </w:r>
    </w:p>
    <w:p>
      <w:r>
        <w:t>Dezember 1993 2529 Motion Caccia Mitunterzeichner - Cosignataires: Baumberger, Binder, Bir- cher Peter, Bürgi, Chevallaz, Daepp, David, Deiss, Dormann, Ducret, Eggly, Engler, Epiney, Eymann Christoph, Fischer- Sursee, Gobet, Graber, Gros Jean-Michel, Grossenbacher, Hess Otto, Hildbrand, Iten Joseph, Jäggi Paul, Jöri, Kühne, Leuba, Maitre, Manie, Meyer Theo, Müller, Narbel, Oehler, Philipona, Poncet, Raggenbass, Ruckstuhl, Rutishauser, Sa- vary, Schnider, Schwab, Seiler Hanspeter, Stamm Judith, Theubet, Tschopp, Wyss William, Zölch, Zwahlen (47) Schriftliche Begründung - Développement par écrit Der Urheber verzichtet auf eine Begründung und wünscht eine schriftliche Antwort. Schriftliche Stellungnahme des Bundesrates vom 17. November 1993 Rapport écrit du Conseil fédéral du 17 novembre 1993 Der Bundesrat teilt die Meinung des Motionärs, wonach die Er- haltung beziehungsweise die Verbesserung des Absatzmark- tes EG für schweizerische Agrarprodukte wichtig ist. Er ist denn auch bereit, entsprechende Rahmenbedingungen zur Sicherung beziehungsweise Verbesserung dieser Export- märkte auszuhandeln. Dies ist ein prioritäres Ziel, das auch im Rahmen der laufenden Gatt-Verhandlungen verfolgt wird. Die Absatzförderung im engeren Sinn ist hingegen die Aufgabe der Privatwirtschaft. Der Bundesrat weist darauf hin, dass es der Ernährungswirtschaft selbst obliegt, qualitativ und preis- lich konkurrenzfähige Produkte zu liefern und einzuführen und sich auf den Märkten zu behaupten. Der grösste Teil der schweizerischen Agrarexporte entfällt auf verarbeitete Produkte. An erster Stelle stehen dabei Milchpro- dukte (insbesondere Käse). Mehr als 50 Prozent der exportier- ten landwirtschaftlichen Produkte der Schweiz gehen in die EG. Damit ist die Gemeinschaft der mit Abstand wichtigste Agrarhandelspartner der Schweiz. Im Bereich von Vieh und Milchprodukten bestehen infolge ihrer Bedeutung für die schweizerische Landwirtschaft seit langem bilaterale Agrar- vereinbarungen mit unseren Nachbarstaaten und auch mit der EG, die den Zugang dieser Erzeugnisse zu diesen Märkten re- geln. Das Freihandelsabkommen zwischen der Schweiz und der Europäischen Wirtschaftsgemeinschaft (FHA) vom 22. Juli 1972 (SR 0.632.401) bildet eine Grundlage für eine harmoni- sche Ausdehnung des Freihandels auf gegenseitiger Basis und unter Berücksichtigung der Agrarpolitiken. Ueberdies si- chern im Gatt notifizierte, gegenseitige Vereinbarungen mit der EG im Bereich des Handels mit landwirtschaftlichen Pro- dukten unsere Exporte in die Gemeinschaft ab. Die Ausfuhr schweizerischer landwirtschaftlicher Produkte in die EG wird durch das zurzeit bestehende grosse Preisgefälle erschwert. Die angelaufenen Reformen der schweizerischen Landwirtschaftspolitik bezwecken u. a, dieses Hindernis ab- zubauen. Die unter EG-Mitgliedländern geltende «préférence communautaire» ist nur durch den vom Bundesrat angestreb- ten EG-Beitritt zu erreichen. Inzwischen ist von der Tatsache auszugehen, dass ein verbes- serter Marktzutritt sowohl der Schweiz als auch der EG Vorteile bringen muss. Der Bundesrat ist bestrebt, ausgewogene, punktuelle Agrarkonzessionen von beidseitigem Interesse auszuhandeln, die mit den Resultaten der Uruguay-Runde im Einklang sein werden. Die gegenwärtige Evaluation der Ver- handlungsgegenstände und die Formulierung der schweizeri- schen Anliegen unter Berücksichtigung der von der schweize- rischen Ernährungswirtschaft vorgebrachten Argumente tra- gen dem Anliegen des Motionärs bereits Rechnung. Im übrigen gilt es darauf hinzuweisen, dass die Resultate der Uruguay-Runde eine generelle Disziplinierung der Agrarhan- delspolitiken aller Vertragsparteien und eine Reduzierung handelsverzerrender Praktiken (vor allem Exportsubventio- nen, aber auch Marktzutrittsrestriktionen und produktionsge- bundene interne Stützung) bewirken. Davon würden auch die schweizerischen Exporteure gegenüber ihren Konkurrenten aus Drittländern und auf dem EG-Markt profitieren. Schriftliche Erklärung des Bundesrates Déclaration écrite du Conseil fédéral Der Bundesrat beantragt, die Motion in ein Postulat umzu- wandeln. Ueberwiesen als Postulat - Transmis comme postulat #ST# 93.3488 Motion Caccia Politik der Grenzregionen Mozione Caccia Nuovi strumenti per la politica delle regioni di frontiera Motion Caccia Politique concernant les régions frontalières Wortlaut der Motion vom 7. Oktober 1993 Der Bundesrat ist aufgefordert, einen Bundesbeschluss vorzu- bereiten, welcher die Grundlagen für eine neue Wirtschaftspo- litik in den Grenzregionen legt. Dieser Bundesbeschluss soll die strukturellen Wirtschaftsreformen unterstützen und för- dern, welche durch die Aenderung der Rolle der Grenze be- dingt sind. Dieser Bundesbeschluss soll auch die negativen Folgen der zu starken oder zu häufigen konjunkturellen Schwankungen mildern. Bei der Erarbeitung der Massnahmen ist der Bundesrat aufge- fordert, die Möglichkeiten der Bildung eines Ausgleichsfonds abzuschätzen, welcher in den günstigen Zeiten mit Mitteln zu speisen wäre, die dann zur Ueberbrückung der ungünstigen Zeiten zur Verfügung ständen. Testo della mozione del 7 ottobre 1993 II Consiglio federale è invitato a preparare un progetto di de- creto per dare avvio a una nuova politica per le zone di fron- tiera, onde assecondare le riforme strutturali che impone il cambiamento in atto del ruolo della frontiera e attenuare le oscillazioni troppo forti o repentine, di tipo congiunturale. Studiando gli strumenti per attuarla il Consiglio federale è invi- tato a valutare la possibilità di creare un fondo di compensa- zione, alimentato nei periodi favorevoli e da utilizzare nei pe- riodi sfavorevoli. Texte de la motion du 7 octobre 1993 Le Conseil fédéral est chargé de préparer un projet d'arrêté vi- sant à mettre en place une nouvelle politique concernant les zones frontalières, afin de favoriser les réformes structurelles qu'imposé le changement de rôle des frontières, et d'atténuer les fluctuations trop fortes ou trop brusques de type con- joncturel. Le Conseil fédéral est prié d'étudier les instruments propres à appliquer cette politique et d'examiner en particulier la possi- bilité d'instituer un fonds de compensation qui sera alimenté pendant les périodes favorables et utilisé au cours des pério- des défavorables. Mitunterzeichner - Cofirmatari - Cosignataires: Columberg, Cotti, Darbellay, David, Deiss, Ducret, Epiney, Grossenba- cher, Maitre, Theubet, Wick, Zwahlen (12) Schriftliche Begründung - Motivazione scritta - Développement par écrit La situazione delle regioni di frontiera è sottoposta a due tipi di dinamiche: - quella congiunturale, che comporta assai frequenti oscilla- zioni delle condizioni economiche a cavallo della frontiera, da situazioni di forti rendite di posizione fino a situazioni di «per- dite», a seconda delle disposizioni legali che vengono intra-</w:t>
      </w:r>
    </w:p>
    <w:p>
      <w:r>
        <w:t>Schweizerisches Bundesarchiv, Digitale Amtsdruckschriften Archives fédérales suisses, Publications officielles numérisées Archivio federale svizzero, Pubblicazioni ufficiali digitali Motion Leu Josef EG. Verhandlung im Agrarbereich Motion Leu Josef CE. Négociation dans le domaine agricole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93.3441 Numéro d'objet Numero dell'oggetto Datum 17.12.1993 - 08:00 Date Data Seite 2528-2529 Page Pagina Ref. No</w:t>
      </w:r>
    </w:p>
    <w:p>
      <w:r>
        <w:rPr>
          <w:b/>
        </w:rPr>
        <w:t>E. 20</w:t>
      </w:r>
    </w:p>
    <w:p>
      <w:r>
        <w:t>023 520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