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93.3434 vom 17. Dezember 1993</w:t>
      </w:r>
    </w:p>
    <w:p>
      <w:r>
        <w:t>Bundesverwaltung, 1993-12-17, DE</w:t>
      </w:r>
    </w:p>
    <w:p>
      <w:r>
        <w:rPr>
          <w:b/>
        </w:rPr>
        <w:t xml:space="preserve">Quelle: </w:t>
      </w:r>
      <w:r>
        <w:t>https://mcp.opencaselaw.ch/entscheid/ch_vb_93.3434</w:t>
      </w:r>
    </w:p>
    <w:p>
      <w:r>
        <w:t>FR: CH_VB 93.3434 du 17 décembre 1993</w:t>
      </w:r>
    </w:p>
    <w:p>
      <w:r>
        <w:t>IT: CH_VB 93.3434 del 17 dicembre 1993</w:t>
      </w:r>
    </w:p>
    <w:p>
      <w:pPr>
        <w:pStyle w:val="Heading2"/>
      </w:pPr>
      <w:r>
        <w:t>Erwägungen</w:t>
      </w:r>
    </w:p>
    <w:p>
      <w:r>
        <w:rPr>
          <w:b/>
        </w:rPr>
        <w:t>E. 17</w:t>
      </w:r>
    </w:p>
    <w:p>
      <w:r>
        <w:t>Dezember 1993 N 2533 Postulat der christlichdemokratischen Fraktion La République fédérale allemande, qui passe pourtant pour très sourcilleuse en matière de protection de l'environnement, n'impose un contrôle antipollution des véhicules de tourisme munis d'un catalyseur que 36 mois après la première mise en service, puis tous les deux ans. En fixant un rythme biennal au contrôle antipollution des voitures de tourisme munis d'un catalyseur, la Suisse resterait ainsi plus sévère que l'Allema- gne et que la presque totalité des pays européens, tout en se rapprochant d'une norme raisonnable. Il ne s'agit pas de faire un pas en arrière dans la protection né- cessaire de la qualité de l'air, mais de tenir compte des expé- riences sur la fiabilité des catalyseurs, pour lesquels on avait certains doutes au moment de leur introduction. Il y a lieu de faire ici une appréciation du rapport entre le coût et l'efficacité du contrôle annuel. En ne touchant pratiquement pas à l'effi- cacité, on diminue presque de moitié le coût du contrôle pour le consommateur, ce d'autant plus que les garages, qui ont acquis un matériel de contrôle coûteux, l'ont pour la plupart déjà amorti. Avec la mesure préconisée, le Conseil fédéral tiendrait compte aussi de la réduction du kilométrage moyen parcouru annuel- lement par les véhicules de tourisme, qui a passé de près de 15 000 kilomètres par an à environ 13 000 kilomètres par an. Si la mesure ne touche que les véhicules munis d'un cata- lyseur, ce sera une incitation supplémentaire, même modeste, à la transformation du parc en faveur des véhicules les moins polluants. Le contrôle n'en sera pas plus difficile, puisque la vi- gnette n'indique que la date limite à laquelle un nouveau contrôle doit être effectué. Enfin, ce serait un pas dans le sens de la déréglementation tant prônée, là où elle est possible sans inconvénients. 2. L'Office fédéral de la police envisagerait de proposer au Conseil fédéral une autre modification de la législation pré- voyant d'introduire, pour les véhicules munis d'un catalyseur, un contrôle supplémentaire à 3000 tr/min en plus du contrôle au ralenti. Or cette exigence n'est pas posée au moment de l'homologation du véhicule. Il s'ensuit que des véhicules qui sont régulièrement homologués pourraient ne plus remplir les conditions lors des contrôles subséquents, sans que le cataly- seur ne présente de défectuosité. Cette mesure qui, d'ailleurs, ne serait appliquée qu'aux véhi- cules les moins polluants, c'est-à-dire à ceux équipés d'un catalyseur, paraît non seulement inutile (avec certains types de véhicules, on ne monte pratiquement jamais à plus de 3000 tr/min), mais particulièrement inopportune et tracas- sière. Au surplus, avec une telle mesure, la Suisse ferait une fois de plus cavalier seul, contrairement aux déclarations gouverne- mentales qui voudraient nous rapprocher des normes euro- péennes. Schrittliche Erklärung des Bundesrates vom 17. November 1993 Déclaration écrite du Conseil fédéral du 17 novembre 1993 Le Conseil fédéral est prêt à accepter le postulat. Ueberwiesen - Transmis #ST# 93.3347 Postulat der christlichdemokratischen Fraktion Bekämpfung der Gewalttätigkeit und des organisierten Verbrechens Postulat du groupe démocrate-chrétien Lutte contre la violence et la criminalité organisée Wortlaut des Postulates vom 18. Juni 1993 Die neue polizeiliche Kriminalstatistik zeigt, dass die Zahl von verschiedenen schweren Delikten gegen Leib und Leben und das Vermögen gegenüber dem Vorjahr markant zugenom- men hat. Unter anderem lässt sich eine erhöhte Anzahl von Vermögensdelikten wie Veruntreuung, Betrug, Erpressung, Geldwäscherei und mangelnde Sorgfalt in Finanzgeschäften, aber ebenso von schweren Gewaltdelikten wie Körperverlet- zung, Drohung, Nötigung usw. feststellen. Das organisierte Verbrechen und die Wirtschaftskriminalität sind vordringlich zu bekämpfen. Der Bundesrat wird gebeten: 1. die Koordinationskompetenzen des Bundes bei der Bekämpfung der Geldwäscherei und des organisierten Ver- brechens zu verstärken; 2. strukturelle, personelle und finanzielle Mittel bereitzu- stellen: - für die Einrichtung beziehungsweise Verstärkung der Zen- tralstellen zur Koordinierung der Bekämpfung des organisier- ten Verbrechens im In-und Ausland; -für die Schaffung von Strukturen zur Intensivierung der Zu- sammenarbeit zwischen Bund und Kantonen; 3. Vorgaben für den Einsatz von verdeckten Ermittlern (V-Leute) zu erarbeiten; 4. eine Harmonisierung des schweizerischen Strafprozess- rechtes, allenfalls beschränkt auf die Teilbereiche des organi- sierten Verbrechens, einzuleiten. Texfe du postulat du 18 juin 1993 Les dernières statistiques des crimes et délits montrent que di- vers types d'infractions graves contre la vie et l'intégrité corpo- relle et contre le patrimoine ont sensiblement augmenté par rapport à l'année précédente. On constate notamment un nombre croissant d'infractions contre le patrimoine, tels l'abus de confiance, l'escroquerie, l'extorsion et le chantage, le blan- chissage d'argent et le manque de vigilance en matière d'opé- rations financières, mais aussi un accroissement considérable des actes de violence, commis notamment sous la forme de lésions corporelles, de menaces et de contrainte. Le crime or- ganisé et la criminalité économique doivent être combattus en priorité. Le Conseil fédéral est prié: 1. de renforcer les compétences de la Confédération en ma- tière de coordination de la lutte contre le blanchissage d'ar- gent et contre le crime organisé; 2. de mettre des moyens à disposition (infrastructure, person- nel et fonds): - pour l'institution ou le développement de centres de coordi- nation en matière de lutte contre le crime organisé en Suisse et à l'étranger; - pour la création de structures destinées à développer la col- laboration entre la Confédération et les cantons; 3. d'élaborer des directives concernant le recours aux services de «taupes»; 4. d'harmoniser le droit pénal suisse, éventuellement en se li- mitant aux domaines qui concernent le crime organisé.</w:t>
      </w:r>
    </w:p>
    <w:p>
      <w:r>
        <w:t>Schweizerisches Bundesarchiv, Digitale Amtsdruckschriften Archives fédérales suisses, Publications officielles numérisées Archivio federale svizzero, Pubblicazioni ufficiali digitali Postulat Leuba Abgaskontrolle. Intervall von zwei Jahren Postulat Leuba Contrôle antipollution tous les deux ans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93.3434 Numéro d'objet Numero dell'oggetto Datum 17.12.1993 - 08:00 Date Data Seite 2532-2533 Page Pagina Ref. No</w:t>
      </w:r>
    </w:p>
    <w:p>
      <w:r>
        <w:rPr>
          <w:b/>
        </w:rPr>
        <w:t>E. 20</w:t>
      </w:r>
    </w:p>
    <w:p>
      <w:r>
        <w:t>023 526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