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93.3387 vom 4. Oktober 1993</w:t>
      </w:r>
    </w:p>
    <w:p>
      <w:r>
        <w:t>Bundesverwaltung, 1993-10-04, DE</w:t>
      </w:r>
    </w:p>
    <w:p>
      <w:r>
        <w:rPr>
          <w:b/>
        </w:rPr>
        <w:t xml:space="preserve">Quelle: </w:t>
      </w:r>
      <w:r>
        <w:t>https://mcp.opencaselaw.ch/entscheid/ch_vb_93.3387</w:t>
      </w:r>
    </w:p>
    <w:p>
      <w:r>
        <w:t>FR: CH_VB 93.3387 du 4 octobre 1993</w:t>
      </w:r>
    </w:p>
    <w:p>
      <w:r>
        <w:t>IT: CH_VB 93.3387 del 4 ottobre 1993</w:t>
      </w:r>
    </w:p>
    <w:p>
      <w:pPr>
        <w:pStyle w:val="Heading2"/>
      </w:pPr>
      <w:r>
        <w:t>Erwägungen</w:t>
      </w:r>
    </w:p>
    <w:p>
      <w:r>
        <w:rPr>
          <w:b/>
        </w:rPr>
        <w:t>E. 4</w:t>
      </w:r>
    </w:p>
    <w:p>
      <w:r>
        <w:t>Die Schweiz hat die Gatt-Aktivitäten im Umweltbereich seit 1990 aktiv gefördert. Eine Arbeitsgruppe beschäftigt sich momentan mit der Frage der Berücksichtigung der Resultate des Umweltgipfels von Rio in der künftigen Ausgestaltung des multilateralen Welthandelssystems. Ausserdem berücksichti- gen, wie der Bundesrat in seiner Antwort auf die Interpellation Strahm Rudolf vom 7. Oktober 1992 (92.3425) bereits ausfüh- ren konnte, verschiedene Abkommensentwürfe der Uruguay- Runde umweltpolitische Anliegen (Landwirtschaft, Dienstlei- stungen, geistiges Eigentum, technische Handelshemm- nisse). Der Bundesrat wird alles in die Wege leiten, um diesen neuen Tätigkeitsbereich des Gatt zu fördern, und macht sich die Idee zu eigen, das Thema Handel/Umwelt spätestens in der nächsten Runde zu verhandeln.</w:t>
      </w:r>
    </w:p>
    <w:p>
      <w:r>
        <w:rPr>
          <w:b/>
        </w:rPr>
        <w:t>E. 5</w:t>
      </w:r>
    </w:p>
    <w:p>
      <w:r>
        <w:t>Wie lässt sich für den Bundesrat eine weitere Dezimierung der bereits auf 4,5 Prozent zusammengeschrumpften land- wirtschaftlichen Bevölkerung mit den massiv angestiegenen Arbeitslosenzahlen vereinbaren?</w:t>
      </w:r>
    </w:p>
    <w:p>
      <w:r>
        <w:rPr>
          <w:b/>
        </w:rPr>
        <w:t>E. 6</w:t>
      </w:r>
    </w:p>
    <w:p>
      <w:r>
        <w:t>La Suisse devrait être en mesure, même avec l'accord prévu dans le cadre du Gatt, de maintenir un secteur agricole viable. Que pense le Conseil fédéral des possibilités d'atteindre cet objectif, par exemple en améliorant l'accès aux marchés étrangers? Mitunterzeichner - Cosignataires: Berger, Binder, Bühler Si- meon, Bürgi, Daepp, Hari, Kühne, Maurer, Müller, Rutishau- ser, Rychen, Schmied Walter, Seiler Hanspeter, Wanner, Wit- tenwiler (15) Schriftliche Begründung - Développement par écrit Der Urheber verzichtet auf eine Begründung und wünscht eine schriftliche Antwort. Schriftliche Stellungnahme des Bundesrates vom 1. September 1993 Rapport écrit du Conseil fédéral du 1er septembre 1993 Aus der vom Interpellanten angesprochenen Studie des Bun- desamtes für Landwirtschaft «Geschätzte Auswirkungen eines Gatt-Abschlusses auf die schweizerische Landwirtschaft» vom Mai 1993 geht hervor, dass die Ziele unserer Agrarpolitik ge- mäss 7. Landwirtschaftsbericht mit den vorliegenden Gatt- Vorschlägen vereinbar sind. Auf Massnahmenebene müssten dagegen verschiedene, zum Teil grundsätzliche Anpassun- gen vorgenommen werden, die in vielen Bereichen in dieselbe Richtung, streckenweise aber weiter gehen als die intern vor- gesehenen Agrarreformen. Der Bundesrat nimmt zu den sechs Fragen im einzelnen wie folgt Stellung: 1. Nach dem heutigen Stand der Gatt-Verhandlungen wäre eine volle Kompensation des Abbaus der produktegebunde- nen Stützung durch produkteunabhängige Direktzahlungen möglich, falls letztere den Kriterien der nicht abbaubaren Sub- ventionen (sogenannte grüne Kategorie) gemäss Abkom- mensentwurf der Uruguay-Runde entsprächen. Es handelt sich dabei um Massnahmen, die Produktion und Aussenhan- del nicht oder nur minim tangieren. Die Schweiz hat in ihrer am 3. April 1992 beim Gatt eingereichten Agrarofferte mehr als 30 Massnahmen mit einem damaligen Budgetwert von über 1,5 Milliarden Franken als zur grünen Kategorie gehö- rend notifiziert Die neuen Direktzahlungen gemäss Artikel 31 a und 31 b des Landwirtschaftsgesetzes sind in dieser Zusam- menstellung noch nicht berücksichtigt, gehören jedoch ein- deutig ebenfalls in die grüne Kategorie und sind damit Gatt- konform. Eine volle Kompensation des Abbaus der produkte- gebundenen Stützung durch Direktzahlungen ist dagegen aus innen-bzw. vorab finanzpolitischen Gründen nicht möglich. 2. Die Direktzahlungen stellen zwar ein notwendiges, aber kein hinreichendes Element für eine reformierte Agrarpolitik und die bäuerliche Einkommenssicherung dar. Kostensen- kung, Strukturanpassung, vermehrte Marketing-Anstrengun-</w:t>
      </w:r>
    </w:p>
    <w:p>
      <w:r>
        <w:t>Schweizerisches Bundesarchiv, Digitale Amtsdruckschriften Archives fédérales suisses, Publications officielles numérisées Archivio federale svizzero, Pubblicazioni ufficiali digitali Dringliche Interpellation der christlichdemokratischen Fraktion Gatt-Verhandlungen. Oekologische und soziale Interessen Interpellation urgente du groupe démocrate-chrétien Intérêts écologiques et sociaux dans les négociations du Gatt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w:t>
      </w:r>
    </w:p>
    <w:p>
      <w:r>
        <w:rPr>
          <w:b/>
        </w:rPr>
        <w:t>E. 10</w:t>
      </w:r>
    </w:p>
    <w:p>
      <w:r>
        <w:t>Séance Seduta Geschäftsnummer 93.3387 Numéro d'objet Numero dell'oggetto Datum 04.10.1993 - 15:30 Date Data Seite 1793-1795 Page Pagina Ref. No 20 023 200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