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93.3380 vom 20. September 1993</w:t>
      </w:r>
    </w:p>
    <w:p>
      <w:r>
        <w:t>Bundesverwaltung, 1993-09-20, DE</w:t>
      </w:r>
    </w:p>
    <w:p>
      <w:r>
        <w:rPr>
          <w:b/>
        </w:rPr>
        <w:t xml:space="preserve">Quelle: </w:t>
      </w:r>
      <w:r>
        <w:t>https://mcp.opencaselaw.ch/entscheid/ch_vb_93.3380</w:t>
      </w:r>
    </w:p>
    <w:p>
      <w:r>
        <w:t>FR: CH_VB 93.3380 du 20 septembre 1993</w:t>
      </w:r>
    </w:p>
    <w:p>
      <w:r>
        <w:t>IT: CH_VB 93.3380 del 20 settembre 1993</w:t>
      </w:r>
    </w:p>
    <w:p>
      <w:pPr>
        <w:pStyle w:val="Heading2"/>
      </w:pPr>
      <w:r>
        <w:t>Erwägungen</w:t>
      </w:r>
    </w:p>
    <w:p>
      <w:r>
        <w:rPr>
          <w:b/>
        </w:rPr>
        <w:t>E. 20</w:t>
      </w:r>
    </w:p>
    <w:p>
      <w:r>
        <w:t>septembre 1993 Motion 93.3244 Abstimmung - Vote Für Ueberweisung des Postulâtes 85 Stimmen Dagegen Bestimmen Motion 93.3380 Punkte 1,3-Points 1,3 Ueberwiesen - Transmis Punkt 2-Point 2 Ueberwiesen als Postulat - Transmis comme postulat #ST# 92.066 Wohneigentumsförderung mit den Mittel n der beruflichen Vorsorge Encouragement à la propriété du logement au moyen de la prévoyance professionnelle Differenzen - Divergences Siehe Seite 473 hiervor - Voir page 473 ci-devant Beschluss des Ständerates vom 10. Juni 1993 Décision du Conseil des Etats du 10 juin 1993 Kategorie III, Art 68 GRN-Catégorie III, art 68RCN Frau Spoerry, Berichterstatterin: Die Vorlage zur Wohneigen- tumsförderung mit Mitteln der gebundenenen Vorsorge soll bekanntlich die vorzeitige Verwendung der Vorsorgegelder für das Wohneigentum ermöglichen und wird das Verbot der Ver- pfändung von Vorsorgeansprüchen für die Wohneigentums- förderung aufheben. Der Ständerat hat sich im wesentlichen dem vom Nationalrat vorgeschlagenen Konzept angeschlossen. Dieses Konzept umfasst die folgenden Punkte: 1. Der Versicherte hat einen Rechtsanspruch, sein Vorsorge- guthaben in begrenztem Umfange vorzeitig zu beziehen: a wenn ersieh damit entweder selbstbewohntes Eigentum er- wirbt - nicht eine Zweitwohnung, keine Kapitalanlage - oder wenn er damit Anteilscheine an Wohnbaugenossenschaften finanziert; b. wenn er Neuinvestitionen in selbstbewohntes Wohneigen- tum tätigt oder wenn er Hypotheken auf dem Eigenheim ab- gelten will. 2. Der Umfang des Vorbezuges ist auf die Freizügigkeitslei- stung im Alter 50 bzw. auf die Hälfte der Freizügigkeitsleistung nach dem Alter 50 begrenzt 3. Der Vorsorgezweck wird durch eine im Grundbuch ange- merkte Veräusserungsbeschränkung sichergestellt 4. Der Vorbezug muss bei einem Verkauf wieder an die Vorsor- geeinrichtung zurückfliessen. 5. Der Vorbezug ist sofort steuerbar. Alle diese entscheidenden Punkte hat der Ständerat aus unse- rem Konzept übernommen. Dennoch hat Ihre vorberatende Kommission gegenüber der Fassung des Ständerates noch ein paar Differenzen geschaffen. Es handelt sich allerdings nicht um schwergewichtige Punkte, und der Verabschiedung der Vorlage in dieser Session sollte dennoch nichts im Wege stehen. Die Inkraftsetzung der Vorlage zur Wohneigentumsför- derung ist zusammen mit der neuen Freizügigkeitsregelung vorgesehen und sollte auf den 1. Januar 1995 vollzogen wer- den können. Zu den Differenzen: In drei Fällen, nämlich in den Artikeln 30a und 83a Absatz 2 BVG und in Artikel 331 d Absatz 7 Obligatio- nenrecht, handelt es sich lediglich um sprachliche Präzisie- rungen bzw. um Anpassungen an inzwischen anderweitig ge- änderte Bestimmungen. Daneben bestehen fünf materielle Differenzen. Aber sie sind, wie gesagt, nicht von schwerge- wichtiger Natur. Die erste materielle Differenz finden Sie in Artikel 30c Absatz 4 BVG. Hier wird klarer festgehalten, dass eine Zusatzversiche- rung nur dann anzubieten oder zu vermitteln ist, wenn die durch den Vorbezug notwendige Leistungskürzung trotz be- stehendem Wohneigentum zu einer effektiven Einbusse des Vorsorgeschutzes führt Es sollen damit Ueberversicherungen vermieden werden. Die zweite materielle Differenz liegt in Artikel 60 Absatz 2bis BVG vor, den Ihre Kommission zur Streichung empfiehlt Warum? Der Ständerat will die Auffangeinrichtung als Melde- stelle bezüglich der Vorgänge des Vorbezuges und als Hinter- legungsstelle für die Anteilscheine einsetzen. Nun geht es aber bei der Meldestelle um die Frage der steuerlichen Be- handlung. Deshalb ist es naheliegend, die Eidgenössische Steuerverwaltung als Meldestelle einzusetzen; diese hat sich bereit erklärt, diese Aufgabe zu übernehmen. Bezüglich der Hinterlegungsstelle erachtet es Ihre Kommission nicht als sinnvoll, eine doch eher starre Lösung durch das Gesetz vor- zusehen. Wir schlagen daher vor, dass der Bundesrat gestützt auf Artikel 30g Buchstabe d BVG bestimmt, wo die Anteil- scheine zu hinterlegen sind. Als Beispiel hierzu werden die Kantonalbanken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