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93.3352 vom 8. Oktober 1993</w:t>
      </w:r>
    </w:p>
    <w:p>
      <w:r>
        <w:t>Bundesverwaltung, 1993-10-08, DE</w:t>
      </w:r>
    </w:p>
    <w:p>
      <w:r>
        <w:rPr>
          <w:b/>
        </w:rPr>
        <w:t xml:space="preserve">Quelle: </w:t>
      </w:r>
      <w:r>
        <w:t>https://mcp.opencaselaw.ch/entscheid/ch_vb_93.3352</w:t>
      </w:r>
    </w:p>
    <w:p>
      <w:r>
        <w:t>FR: CH_VB 93.3352 du 8 octobre 1993</w:t>
      </w:r>
    </w:p>
    <w:p>
      <w:r>
        <w:t>IT: CH_VB 93.3352 del 8 ottobre 1993</w:t>
      </w:r>
    </w:p>
    <w:p>
      <w:pPr>
        <w:pStyle w:val="Heading2"/>
      </w:pPr>
      <w:r>
        <w:t>Erwägungen</w:t>
      </w:r>
    </w:p>
    <w:p>
      <w:r>
        <w:rPr>
          <w:b/>
        </w:rPr>
        <w:t>E. 8</w:t>
      </w:r>
    </w:p>
    <w:p>
      <w:r>
        <w:t>Oktober 1993 N 2043 Interpellation Gysin Les années passées ont cependant montré que la commande de trains-kilomètres dans les conditions-cadres précitées fait augmenter les coûts dans une mesure considérable et ne per- met pas d'atteindre les objectifs financiers. Afin de soutenir les efforts des CFF visant à écouler le trafic à moindres coûts et de manière efficace, il faudra à l'avenir fixer de plus en plus des objectifs clairs, axés sur le moyen terme. Dans ce domaine, la Confédération a fait de bonnes expérien- ces avec les ETC en les soumettant à une pression financière accrue. C'est la seule manière d'accroître l'efficacité, de réali- ser des gains au titre de la rationalisation et de corriger des structures erronées. Cette tâche s'impose aussi aux CFF. 2. La comptabilité des CFF est une comptabilité moderne des coûts marginaux prévisionnels, dans laquelle on distingue les coûts proportionnels, dépendant des prestations et les coûts fixes (frais de capitaux). La Confédération indemnise les CFF des prestations du trafic régional sur la base des coûts com- plets (coûts proportionnels et par des coûts fixes). La compta- bilité des CFF indique, en principe, le montant de l'indemnité afférent à chaque ligne. 3. La commande de trains-kilomètres a un avantage: les coûts non couverts sont connus à l'avance de manière assez pré- cise, compte tenu de divers paramètres et des expériences fai- tes lors des périodes précédentes. Par ailleurs, l'ampleur du trafic régional à fournir par les CFF est déterminé sans ambi- guïté. D'autres modèles sont concevables. Mais la commande de trains-kilomètres n'est pas déterminante à elle seule; les conditions-cadres le sont tout autant. Au lieu des trains-kilo- mètres, on pourrait par exemple fixer un objectif financier et à la place de la cadence horaire intégrale, on pourrait définir un objectif différencié en fonction de la demande potentielle. D'autres solutions ad hoc sont examinées dans le cadre des travaux relatifs au nouveau mandat de prestations des CFF. Präsident: Die Interpellantin ist von der Antwort des Bundes- rates tei l weise befriedigt und verlangt Diskussion. Abstimmung - Vote Für den Antrag auf Diskussion Dagegen Verschoben - Renvoyé offensichtliche Mehrheit Minderheit #ST# 93.3330 Interpellation Gysin Förderung des Wohneigentums Encouragement de l'accession à la propriété du logement Wortlaut der Interpellation vom 17. Juni 1993 Zur Förderung des Wohneigentums hat der Kanton Basel- Landschaft Sparanlagen zum Abzug von den steuerbaren Ein- künften zugelassen, während zehn Jahren bis zu 10 000 Fran- ken im Jahr und für Ehepaare bis zu 20 000 Franken. Die Spar- rücklagen müssen für die erstmalige und dauernde Beschaf- fung von Wohneigentum gebunden sein. Dieses Bausparmo- dell findet Anklang und fördert in erwünschter Weise das Wohneigentum. Das Bundesgesetz über die direkte Bundessteuer sieht keinen solchen Abzug vor. Vor allem aber ist im Bundesgesetz über die Harmonisierung der direkten Steuern der Kantone und Ge- meinden kein Abzug dieser Art erwähnt (Art. 9). Er wäre nach rein wörtlicher Auslegung möglicherweise nicht mehrzulässig, so dass der Kanton Basel-Landschaft binnen der achtjährigen Anpassungsfrist diese nützliche Vorkehr abschaffen müsste. Dies würde sich mit dem auch von der Bundesverfassung anvi- sierten Ziel der Eigentumsförderung schlecht vertragen. Ich frage den Bundesrat an, 1. ob tatsächlich das Harmonisierungsgesetz den Sinn haben soll, jene Vorkehr der Eigentumsförderung zu verbieten; 2. ob der Bundesrat gegebenenfalls eine Korrektur des Har- monisierungsgesetzes ins Auge fasst. Texte de l'interpellation du 17 juin 1993 Pour encourager l'accession à la propriété du logement, le canton de Baie-Campagne a autorisé tout contribuable à dé- duire de son revenu imposable, pendant dix ans, jusqu'à concurrence de 10000 francs (pour les couples, jusqu'à concurrence de 20 000 francs) l'épargne qui servira à l'achat d'un premier logement où il habitera à titre permanent. Cette innovation a connu un vif succès et elle favorise, comme on le souhaitait, l'accession à la propriété. Or, la loi fédérale sur l'impôt fédéral direct ne prévoit aucune déduction de ce type. Qui plus est, la loi fédérale sur l'harmoni- sation des impôts directs des cantons et des communes ne prévoit, elle non plus, rien de tel à l'article 9. Autrement dit, en interprétant les textes à la lettre, force est de constater que le canton de Baie-Campagne devrait abandonner cette innova- tion dans les huit années qui suivent puisque les cantons ont ce délai pour se mettre en accord avec la loi. On voit mal com- ment ce serait compatible avec l'objectif de l'encouragement de l'accession à la propriété, objectif qui figure dans la consti- tution. Je demande donc au Conseil fédéral : 1. si la loi fédérale sur l'harmonisation des impôts directs des cantons et des communes a véritablement pour objectif d'interdire toute mesure favorisant l'accession à la propriété; 2. s'il envisage, le cas échéant, de soumettre au Parlement un projet qui amende cette loi. Mitunterzeichner-Cosignataires: Baumberger, Bezzola, Büh- rer Gerold, Dettling, Eymann Christoph, Giger, Hegetschwei- ler, Meyer Theo, Miesch, Raggenbass (10) Schriftliche Begründung - Développement par écrit Der Urheber verzichtet auf eine Begründung und wünscht eine schriftliche Antwort. Schriftliche Stellungnahme des Bundesrates vom 20. September 1993 Rapport écrit du Conseil fédéral du 20 septembre 1993 1. Es trifft zu, dass die steuerliche Förderung eines Bauspar- modells, wie es das Steuergesetz des Kantons Basel-Land- schaft in Form der Abzugsfähigkeit gebundener Bausparrück- lagen (Paragraph 29bis) seit 1991 kennt, im Steuerharmoni- sierungsgesetz (StHG) keine Grundlage findet. Die im Inter- esse der Harmonisierung der kantonalen Steuerordnungen abschliessende Aufzählung der zulässigen Abzüge in Artikel 9 StHG enthält keinen solchen Abzug. «Andere Abzüge» sind, unter Vorbehalt der Sozialabzüge, ausdrücklich ausgeschlos- sen (Abs. 4). Wohl sind nach dem StHG «Zinsen von Sparkapitalien» bis zu einem vom kantonalen Gesetzgeber zu bestimmenden Betrag abziehbar (Art. 9 Abs. 2Bst. g). Das basellandschaftliche Bau- sparmodell geht jedoch eindeutig über das hinaus, was das schweizerische Steuerrecht unter dem herkömmlichen Spar- zinsenabzug üblicherweise versteht. Im Steuergesetz des Kantons Basel-Landschaft besteht denn auch eine klare Tren- nung zwischen diesen beiden Abzügen (Paragraph 29 Abs. 2 Bst. k und Paragraph 29bis). Aus diesen Gründen wäre der Abzug von Bausparrücklagen im genannten Sinn nach Ablauf der achtjährigen Anpassungs- frist (Art 72 StHG) von Bundesrechts wegen nicht mehr zu- lässig. 2. Dabei ist jedoch zu beachten, dass die Harmonisierungs- gesetzgebung, wozu neben dem StHG auch das neue, auf den 1. Januar 1995 in Kraft tretende Bundesgesetz über die di- rekte Bundessteuer (DBG) gehört, steuerlich das Wohneigen- tum auf andere Weise fördert Nach der bundesrätlichen Ver- ordnung über die steuerliche Abzugsberechtigung für Bei- träge an anerkannte Vorsorgeformen (BW 3), die für die Ein-</w:t>
      </w:r>
    </w:p>
    <w:p>
      <w:r>
        <w:t>Schweizerisches Bundesarchiv, Digitale Amtsdruckschriften Archives fédérales suisses, Publications officielles numérisées Archivio federale svizzero, Pubblicazioni ufficiali digitali Interpellation Gardiol Regionalverkehr. Subventionierungsart Interpellation Gardiol Subventionnement du trafic régional en fonction des trains- kilomètres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93.3352 Numéro d'objet Numero dell'oggetto Datum 08.10.1993 - 08:00 Date Data Seite 2042-2043 Page Pagina Ref. No 20 023 308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