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93.3284 vom 8. Oktober 1993</w:t>
      </w:r>
    </w:p>
    <w:p>
      <w:r>
        <w:t>Bundesverwaltung, 1993-10-08, DE</w:t>
      </w:r>
    </w:p>
    <w:p>
      <w:r>
        <w:rPr>
          <w:b/>
        </w:rPr>
        <w:t xml:space="preserve">Quelle: </w:t>
      </w:r>
      <w:r>
        <w:t>https://mcp.opencaselaw.ch/entscheid/ch_vb_93.3284</w:t>
      </w:r>
    </w:p>
    <w:p>
      <w:r>
        <w:t>FR: CH_VB 93.3284 du 8 octobre 1993</w:t>
      </w:r>
    </w:p>
    <w:p>
      <w:r>
        <w:t>IT: CH_VB 93.3284 del 8 ottobre 1993</w:t>
      </w:r>
    </w:p>
    <w:p>
      <w:pPr>
        <w:pStyle w:val="Heading2"/>
      </w:pPr>
      <w:r>
        <w:t>Erwägungen</w:t>
      </w:r>
    </w:p>
    <w:p>
      <w:r>
        <w:rPr>
          <w:b/>
        </w:rPr>
        <w:t>E. 8</w:t>
      </w:r>
    </w:p>
    <w:p>
      <w:r>
        <w:t>Ist auch geplant, dieses äusserst wirksame Instrument ge- gen Volksinitiativen einzusetzen, die nicht im Bereich der Ver- teidigung liegen?</w:t>
      </w:r>
    </w:p>
    <w:p>
      <w:r>
        <w:rPr>
          <w:b/>
        </w:rPr>
        <w:t>E. 9</w:t>
      </w:r>
    </w:p>
    <w:p>
      <w:r>
        <w:t>Die angebotene technische Information und die politische Auseinandersetzung waren für die Meinungsbildung der Bür- ger sichervon Nutzen. Doch aus welchem Grund hat der Leiter der Kampagne die Auseinandersetzung auf die Wahl des Ja oder Nein zur Armee reduziert?</w:t>
      </w:r>
    </w:p>
    <w:p>
      <w:r>
        <w:rPr>
          <w:b/>
        </w:rPr>
        <w:t>E. 10</w:t>
      </w:r>
    </w:p>
    <w:p>
      <w:r>
        <w:t>Cinq cent mille signatures ne représentent pas une déci- sion populaire anticipée. Elles expriment simplement le fait</w:t>
      </w:r>
    </w:p>
    <w:p>
      <w:r>
        <w:t>Interpellation du groupe libéral 2022 N 8 octobre 1993 qu'un objet doit être soumis à une votation et qu'un débat dé- mocratique est souhaité. Le Conseil fédéral et le DMF se sont soumis à ce débat Les campagnes financées sur des bases privées par les partisans et les opposants n'ont pas délié les autorités de leur devoir d'information. Par ailleurs, le fait que des parlementaires, hommes et femmes, et de nombreuses organisations privées se sont engagés personnellement de part et d'autre a largement contribué à l'équilibre de la discus- sion politique. Präsident: Der Interpellant ist von der Antwort des Bundesra- tes nicht befriedigt und verlangt Diskussion. Abstimmung - Vote Für den Antrag auf Diskussion 34 Stimmen Dagegen 36 Stimmen #ST# 92.3476 Interpellation der liberalen Fraktion Direkte und indirekte Steuern Interpellation du groupe libéral Impôts directs et impôts indirects Wortlaut der Interpellation vom 2. Dezember 1992 Der Bundesrat wird gebeten, im Zusammenhang mit der Initia- tive «zur Abschaffung der direkten Bundessteuer» folgende Fragen zu beantworten: 1. Wie hoch ist der Anteil der Einnahmen aus den direkten Steuern in der Schweiz im Verhältnis zum gesamten Steuer- aufkommen von Bund, Kantonen und Gemeinden? 2. Trifft es nicht zu, dass der Ertrag aus den direkten Steuern im Verhältnis zu demjenigen aus indirekten Steuern in der Schweiz höher ist als in den meisten oder gar in allen anderen Ländern des Europäischen Wirtschaftsraumes? 3. Kann der Bundesrat die in der Begründung der vorliegen- den Interpellation angeführten Zahlenbeispiele bestätigen? 4. Zu welchen Mitteln greifen die anderen europäischen Staa- ten, deren wirtschaftlicher Entwicklungsstand mit dem unsri- gen vergleichbar ist, um die «ungerechten sozialen Auswir- kungen» der indirekten Steuern auszugleichen? Ist die Steuergerechtigkeit für die oben genannten sowiefürdie übrigen europäischen Staaten ein weniger gewichtiges Anlie- gen als für die Schweiz? Wenn dies nicht zutrifft, wäre es wis- senswert, wie diese Staaten - mit ihrem ungleich höheren An- teil an indirekten Steuereinnahmen, als ihn die Schweiz hat - dennoch den Forderungen nach gerechter Verteilung der Steuern entsprechend der Steuerbelastbarkeit nachkommen. Texte de l'interpellation du 2 décembre 1992 Le Conseil fédéral est prié de répondre aux questions suivan- tes en relation avec l'initiative «pour l'abolition de l'impôt fédé- ral direct»: 1. Quelle est, en Suisse, la part totale des recettes fiscales di- rectes par rapport à l'ensemble des recettes fiscales de la Confédération, des cantons et des communes? 2. N'est-il pas exact que le rapport entre le produit de la fisca- lité directe par rapport à celui de la fiscalité indirecte est plus élevé en Suisse que dans la plupart, sinon dans la totalité des pays de l'Espace économique européen? 3. Les chiffres indiqués à titre d'exemple dans le développe- ment de la présente interpellation peuvent-ils être confirmés par le Conseil fédéral? 4. Quels moyens utilisent les autres Etats européens, dont le développement économique est comparable au nôtre, pour compenser les effets «d'injustice sociale» de la fiscalité in- directe? Les Etats cités ci-dessus, et les autres Etats européens, ont-ils moins de préoccupations de justice fiscale que la Suisse? Si tel n'est pas le cas, il serait très intéressant de savoir comment, avec une part de recettes provenant de la fiscalité indirecte beaucoup plus importante que cela n'est le cas en Suisse, ils répondent néanmoins aux impératifs d'une juste répartition de l'impôt en fonction de la capacité contributive. Sprecher-Porte-parole: Leuba Schriftliche Begründung Es ist zwar gewiss nicht einfach, die Steuersysteme verschie- dener Staaten miteinander zu vergleichen, weil die Begriffe nicht überall gleich definiert werden. Im grossen und ganzen wird man dennoch sagen können, dass sich die Schweiz mit ihren drei Steuerebenen gegenüber den wichtigsten euro- päischen Ländern mit vergleichbarer wirtschaftlicher Ent- wicklung durch einen bedeutend höheren Anteil der direkten Steuern am Gesamtsteueraufkommen beziehungsweise durch eine verhältnismässig geringe indirekte Besteuerung auszeichnet. Die Steuerrechtstheorie geht davon aus, dass die indirekte Besteuerung zahlreiche Vorteile aufweist Vor allem kann man sagen, dass sie Steuerbetrug und Steuerflucht eher zu verhin- dern vermag, relativ schmerzlos ist (der Konsument nimmt die Steuerbelastung bei einem Handelsgeschäft kaum wahr), sich der internationalen Konkurrenz besser anpasst (dies gilt be- sonders bei Steuern wie der Mehrwertsteuer) und geeignetere Voraussetzungen für die Wirtschaftspolitik bietet, weil sie die für Investitionen erforderliche Ersparnisbildung nicht trifft. Umgekehrt ist es richtig - wie der Bundesrat in Beantwortung der Interpellation Strahm Rudolf (92.3216) treffend festgestellt hat -, dass die indirekte Besteuerung unerwünschte soziale Auswirkungen zeitigt. Angesichts von Volkswirtschaften, die wohl oder übel immer stärker integriert sein werden, scheint es dennoch wünschenswert, dass sich die Schweiz in bezug auf das Verhältnis von direkten und indirekten Steuern nicht allzu- sehr von ihren wichtigsten Handelspartnern unterscheidet. Zur Veranschaulichung hier einige Zahlen, in Prozenten: direkte - indirekte Besteuerung Schweiz 73 27 BRD 60 40 Italien 60 40 Frankreich 43 57 Niederlande 55 45 Natürlich müsste man im Hinblick auf einen vor allem auch für den Steuerzahler brauchbaren Vergleich die Gesamtheit der Steuern auf allen Ebenen -also auf nationaler, regionaler und lokaler Ebene - berücksichtigen. Développement par écrit II est certes difficile de comparer les systèmes fiscaux de diffé- rents pays, car les définitions ne sont pas toujours sembla- bles. Néanmoins, dans les grandes lignes, il apparaît que la Suisse, avec ses trois niveaux de fiscalité, se distingue des principaux pays européens dont l'économie est comparable à la sienne, par une part plus importante des recettes fiscales di- rectes par rapport à la totalité des recettes fiscales, donc par une imposition indirecte proportionnellement plus faible. En doctrine fiscale, on admet que l'imposition indirecte pré- sente de nombreux avantages, parmi lesquels on peut citer notamment une meilleure résistance à la fraude et à l'évasion, son caractère relativement indolore (le consommateur est ra- rement conscient du poids de l'impôt lors d'une transaction commerciale), une meilleure adaptation à la concurrence internationale (dans la mesure où il s'agit d'un impôt du type TVA) et une adéquation meilleure à la politique économique, parce que l'impôt indirect ne frappe pas la constitution de l'épargne, nécessaire aux investissements. Il est en revanche exact, comme l'a souligné complaisamment le Conseil fédéral dans sa réponse à l'interpellation Strahm Rudolf (92.3216), que l'imposition indirecte produit des effets socialement indésirables. Toutefois, face à des économies qui seront, qu'on le veuille ou non, de plus en plus intégrées, il ap- paraît souhaitable que la Suisse ne se distingue pas, sur le</w:t>
      </w:r>
    </w:p>
    <w:p>
      <w:r>
        <w:t>Schweizerisches Bundesarchiv, Digitale Amtsdruckschriften Archives fédérales suisses, Publications officielles numérisées Archivio federale svizzero, Pubblicazioni ufficiali digitali Interpellation Aguet Verhalten des EMD im Abstimmungskampf Interpellation Aguet Engagement du DMF dans le débat démocratique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w:t>
      </w:r>
    </w:p>
    <w:p>
      <w:r>
        <w:rPr>
          <w:b/>
        </w:rPr>
        <w:t>E. 15</w:t>
      </w:r>
    </w:p>
    <w:p>
      <w:r>
        <w:t>Séance Seduta Geschäftsnummer 93.3284 Numéro d'objet Numero dell'oggetto Datum 08.10.1993 - 08:00 Date Data Seite 2020-2022 Page Pagina Ref. No</w:t>
      </w:r>
    </w:p>
    <w:p>
      <w:r>
        <w:rPr>
          <w:b/>
        </w:rPr>
        <w:t>E. 20</w:t>
      </w:r>
    </w:p>
    <w:p>
      <w:r>
        <w:t>023 294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