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93.3275 vom 17. Dezember 1993</w:t>
      </w:r>
    </w:p>
    <w:p>
      <w:r>
        <w:t>Bundesverwaltung, 1993-12-17, DE</w:t>
      </w:r>
    </w:p>
    <w:p>
      <w:r>
        <w:rPr>
          <w:b/>
        </w:rPr>
        <w:t xml:space="preserve">Quelle: </w:t>
      </w:r>
      <w:r>
        <w:t>https://mcp.opencaselaw.ch/entscheid/ch_vb_93.3275</w:t>
      </w:r>
    </w:p>
    <w:p>
      <w:r>
        <w:t>FR: CH_VB 93.3275 du 17 décembre 1993</w:t>
      </w:r>
    </w:p>
    <w:p>
      <w:r>
        <w:t>IT: CH_VB 93.3275 del 17 dicembre 1993</w:t>
      </w:r>
    </w:p>
    <w:p>
      <w:pPr>
        <w:pStyle w:val="Heading2"/>
      </w:pPr>
      <w:r>
        <w:t>Erwägungen</w:t>
      </w:r>
    </w:p>
    <w:p>
      <w:r>
        <w:rPr>
          <w:b/>
        </w:rPr>
        <w:t>E. 17</w:t>
      </w:r>
    </w:p>
    <w:p>
      <w:r>
        <w:t>décembre 1993 Weiter wird die Einführung der strafrechtlichen Verantwortlich- keit des Unternehmens im Rahmen der laufenden Revision des Allgemeinen Teils des Schweizerischen Strafgesetzbu- ches bearbeitet Handlungsbedarf besteht schliesslich auch im Bereich des Strafprozessrechts. So sind gesetzliche Grundlagen für den Einsatz von V-Leuten (d. h. von verdeckt operierenden Polizei- beamten) zu schaffen. 2. Der Forderung des Interpellanten nach Unterbreitung von verschärften Strafbestimmungen gegen das organisierte Ver- brechen ist der Bundesrat mit der am 30. Juni 1993 erfolgten Verabschiedung des sogenannten 2. Massnahmenpaketes bereits nachgekommen. Verbesserungen im Finanzaufsichtsrecht werden durch den bereits erwähnten Vorentwurf eines verwaltungsrechtlichen Geldwäschereigesetzes vorgeschlagen, welches über den Bankensektor hinaus für die gesamte Finanzbranche auf- sichtsrechtliche Bestimmungen und Verhaltensregeln enthält, denen vor allem präventive Wirkung zukommt Gedacht ist hier namentlich an die Einführung einer Meldepflicht bei be- gründetem Verdacht auf Geldwäscherei. 3. Es wäre falsch, das derzeitige materielle Strafrecht und das Strafprozessrecht als generell wirkungslos darzustellen. Es ist Ausfluss des in der Schweiz geltenden Schuldstrafrechtes und der entsprechenden Grundrechtspraxis, wonach die Strafuntersuchungsbehörden dem Tatverdächtigen delikti- sches Handeln nachweisen müssen und nicht dieser sich zu exkulpieren hat Oftmals sind es Fragen der Beweisführung und -Würdigung und damit des kantonalen Strafprozessrech- tes, welche hohe Anforderungen an den erwiesenen Sachver- halt und damit an das urteilende Gericht stellen. Mit der im Rahmen des 2. Massnahmenpaketes vorgesehe- nen Einführung der Strafbarkeit der Zugehörigkeit zu einer kri- minellen Organisation und der teilweisen Beweislastumkehr bei der Einziehung von Geldern, die Gewinn einer kriminellen Organisation darstellen, werden die notwendigen und griffi- gen Instrumente für eine gesteigerte Effizienz in der Verfol- gung schwerer Kriminalität geschaffen. In diesem Zusammen- hang muss jetzt sorgfältig geprüft werden, ob mittelfristig an der traditionellen Kompetenzverteilung zwischen den Kanto- nen und den Bundesbehörden weiter festzuhalten ist oder ob sich bei der Strafverfolgung nicht, analog dem bewährten Mu- ster der Zentralstelle Rauschgift im Bundesamt für Polizeiwe- sen, neue Lösungen aufdrängen. Mit Blick auf die klare Kompetenzzuweisung nach Artikel 64bis der Bundesverfassung, wonach Gerichtsorganisation, Straf- verfolgung und Rechtsprechung zur Hauptsache eine kanto- nale Angelegenheit sind, wie auch unter Verweis auf das Prin- zip der Gewaltentrennung muss die vom Interpellanten gefor- derte Instruktion und Neuorientierung der eidgenössischen und kantonalen Justizbehörden unterbleiben. 4. Der Bundesrat wird dem Parlament im nächsten Jahr zwei Vorlagen zur Revision des Asyl- und Ausländerrechtes unter- breiten. Während das 2. Revisionspaket im wesentlichen die Ueberführung des Dringlichkeitsrechtes aus dem Jahre 1990 ins ordentliche Recht per 1. Januar 1996 zum Gegenstand hat, wird sich die erste Vorlage auf die Einführung neuer Zwangs- massnahmen im Bereiche des Vollzuges von Wegweisungen konzentrieren. Bei beschleunigter Behandlung im Parlament sollte es mög- lich sein, dass die neuen Bestimmungen per 1. Juli 1994 in Kraft treten. In absehbarer Zukunft sollten sich daher nament- lich Koordinationsprobleme bei laufenden Asyl- und Strafver- fahren lösen lassen. Dies unabhängig davon, ob die Straffäl- ligkeit in Zusammenhang mit dem Drogenhandel oder einem anderen Delikt steht. 5. Ein wesentlicher Grund für die Gefährlichkeit des organi- sierten Verbrechens liegt in seiner Fähigkeit, grenzüberschrei- tend zu operieren und Lücken der nationalen Gesetzgebun- gen und Rechtshilfesysteme geschickt auszunützen. Der Bun- desrat misst deshalb einer Verstärkung der internationalen Zu- sammenarbeit auf diesem Gebiet nach wie vor grossie Bedeu- tung zu. Von daher versteht sich, dass die Schweiz in den ein- schlägigen internationalen Gremien - so beispielsweise in denjenigen des Europarates oder im Rahmen der OECD in der Financial Action Task Force on Money Laundering - eine sehr aktive Rolle spielt In die gleiche Richtung zielt die laufende Revision des Rechtshilfegesetzes. Besondere Erwähnung verdient schliesslich die Tatsache, dass die Schweiz am 11. Mai 1993 als dritter Staat nach Grossbritannien und den Nie- derlanden das Geldwäschereiübereinkommen des Europara- tes ratifiziert hat Damit hat unser Land die Voraussetzungen dafür geschaffen, dass dieses Uebereinkommen, welches die Mitgliedstaaten zur Bestrafung der Geldwäscherei verpflichtet und wesentliche Fortschritte bei der rechtshilfeweisen Beschlagnahme und Einziehung von Deliktsgut bringt, am 1. September 1993 in Kraft treten konnte. Erforderlich ist sodann auch eine Verstärkung der interkanto- nalen Rechtshilfe. Wesentliche Verbesserungen wird hier das vom Bundesrat genehmigte Konkordat vom 5. November 1992 über die Rechtshilfe und die interkantonale Zusammen- arbeit in Strafsachen bringen. Das Ziel einer Verstärkung der interkantonalen Rechtshilfe verfolgen zudem die laufenden Revisionsarbeiten im Rahmen des Dritten Buches des StGB. Mit der im Rahmen des sogenannten 2. Massnahmenpaketes gegen das organisierte Verbrechen geplanten Einführung bzw. mit dem Inkrafttreten der Rechtsgrundlagen für die Ent- sendung von schweizerischen Polizeiverbindungsbeamten an Destinationen, die bei der Bekämpfung des organisierten Verbrechens und des illegalen Drogenhandels Brennpunkte bilden, und mit der noch 1993 als Sofortmassnahme geplan- ten Erhöhung des Personalbestandes der Zentralstelle Rauschgift (im Bundesamt für Polizeiwesen) gibt der Bundes- rat seinem deutlichen Willen Ausdruck, das organisierte Ver- brechen zu bekämpfen. Insofern es gelingt, die Probleme im Zusammenhang mit dem Datenschutz zu lösen, soll noch dieses Jahr mit dem Start des Pilotprojektes «Dosis» (Datenbank des Bundesamtes für Poli- zeiwesen mit Anschluss von vorerst acht Versuchskantonen zur effizienteren Bekämpfung des Drogenhandels) die Koordi- nationsaufgabe des Bundes durch die Zentralstelle Rausch- gift besser wahrgenommen werden. Präsidentin: Der Interpellant ist von der Antwort des Bundes- rates teilweise befriedigt und verlangt Diskussion. Abstimmung - Vote Für den Antrag auf Diskussion Dagegen Verschoben - Renvoyé offensichtliche Mehrheit Minderheit #ST# 93.3439 Interpellation Jenni Peter Deregulierungsmassnahmen Mesures de déréglementation Wortlaut der Interpellation vom 30. September 1993 Von seilen des Gewerbes ist man sich einig, dass ohne weitere Deregulierungsmassnahmen kein wirtschaftlicher Auf- schwung erreicht werden kann. In Anbetracht der immer noch steigenden Arbeilslosigkeit sind weitere Deregulierungen dringend notwendig! Ich bitte den Bundesral, mir milzuteilen: 1. Welche Deregulierungsmassnahmen wurden seit 1991 vom Bundesral für das Gewerbe erfolgreich durchgeführt? 2. Welche Deregulierungsmassnahmen werden zurzeil vom Bundesrat gelroffen? 3. Welchen Geselzesabbau (im Sinne eines besseren Wirt- schaftsumfeldes) slelll der Bundesrat für die Zukunft in Aussicht?</w:t>
      </w:r>
    </w:p>
    <w:p>
      <w:r>
        <w:t>Schweizerisches Bundesarchiv, Digitale Amtsdruckschriften Archives fédérales suisses, Publications officielles numérisées Archivio federale svizzero, Pubblicazioni ufficiali digitali Interpellation Bircher Peter Drogenmafia. Dringliche Massnahmen Interpellation Bircher Peter Trafiquants de drogue. Mesures urgentes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93.3275 Numéro d'objet Numero dell'oggetto Datum 17.12.1993 - 08:00 Date Data Seite 2572-2574 Page Pagina Ref. No</w:t>
      </w:r>
    </w:p>
    <w:p>
      <w:r>
        <w:rPr>
          <w:b/>
        </w:rPr>
        <w:t>E. 20</w:t>
      </w:r>
    </w:p>
    <w:p>
      <w:r>
        <w:t>023 566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