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93.3214 vom 4. Oktober 1994</w:t>
      </w:r>
    </w:p>
    <w:p>
      <w:r>
        <w:t>Bundesverwaltung, 1994-10-04, DE</w:t>
      </w:r>
    </w:p>
    <w:p>
      <w:r>
        <w:rPr>
          <w:b/>
        </w:rPr>
        <w:t xml:space="preserve">Quelle: </w:t>
      </w:r>
      <w:r>
        <w:t>https://mcp.opencaselaw.ch/entscheid/ch_vb_93.3214</w:t>
      </w:r>
    </w:p>
    <w:p>
      <w:r>
        <w:t>FR: CH_VB 93.3214 du 4 octobre 1994</w:t>
      </w:r>
    </w:p>
    <w:p>
      <w:r>
        <w:t>IT: CH_VB 93.3214 del 4 ottobre 1994</w:t>
      </w:r>
    </w:p>
    <w:p>
      <w:pPr>
        <w:pStyle w:val="Heading2"/>
      </w:pPr>
      <w:r>
        <w:t>Erwägungen</w:t>
      </w:r>
    </w:p>
    <w:p>
      <w:r>
        <w:rPr>
          <w:b/>
        </w:rPr>
        <w:t>E. 4</w:t>
      </w:r>
    </w:p>
    <w:p>
      <w:r>
        <w:t>Wie gewichtet der Bundesrat eigentlich die Anforderungen der Besiedlungspolitik, der Raumplanung, der Regionalpolitik und des Umweltschutzes gegenüber den zurzeit einseitig do- minierenden betriebswirtschaftlichen Überlegungen? Und wie werden die teilweise recht unbedeutenden Spareffekte ge- gen die einschneidenden Nachteile des Leistungsabbaus und den schleichenden «Kreditverlust» der SBB valorisiert und auf- gerechnet?</w:t>
      </w:r>
    </w:p>
    <w:p>
      <w:r>
        <w:rPr>
          <w:b/>
        </w:rPr>
        <w:t>E. 5</w:t>
      </w:r>
    </w:p>
    <w:p>
      <w:r>
        <w:t>Quelle est l'idée directrice qui détermine les décisions du Conseil fédéral lorsqu'il doit choisir entre le train et le bus, entre le rail et la route? Etant donné que les ETC sont égale- ment concernées, des conséquences difficilement prévisibles pour les cantons découlent souvent de ces choix; comment pourront-ils participer aux décisions à prendre? Mitunterzeichner - Cosignataires: Keine - Aucun Onken Thomas (S, TG): Wie schon erwähnt, habe ich die Be- gründung meines Vorstosses bereits mit dem Votum geliefert, das ich vorhin zum Bericht über die erste Etappe von «Bahn 2000» gehalten habe. Nachdem Bundesrat Ogi im Rah- men jener Diskussion nicht auf meine Fragen eingegangen ist, bin ich nun auf seine Antwort gespannt. Ogi Adolf, Bundesrat: Ich danke Ihnen, Herr Onken, dass Sie meine Antwort auf Ihre Interpellation jetzt noch entgegenneh- men. Ich habe die allgemeine Diskussion nicht unnötig verlän- gern wollen. Sie sind der Ansicht, dass die Ostschweiz bei der ersten Etappe von «Bahn 2000» vergessen wurde, und Sie stellen in diesem Zusammenhang mehrere Fragen. Ich er- gänze die schriftlichen Unterlagen, die Sie vom Sekretariat be- kommen haben, und ich ergänze meine Ausführungen von heute morgen. Das Konzept «Bahn 2000» wird in der Ostschweiz bereits mit der ersten Etappe schrittweise verwirklicht. Die für das Knoten- prinzip notwendigen Fahrzeiten werden zum Teil dank dem Einsatz von modernerem Rollmaterial mit aktiver Wagenka- stenneigung erreicht. Ich habe zur Kenntnis genommen, dass</w:t>
      </w:r>
    </w:p>
    <w:p>
      <w:r>
        <w:t>Schweizerisches Bundesarchiv, Digitale Amtsdruckschriften Archives fédérales suisses, Publications officielles numérisées Archivio federale svizzero, Pubblicazioni ufficiali digitali Interpellation Cottier Infragestellung der Linie Genf-Romanshorn über Lausanne- Freiburg-Bern im Projekt "Bahn 2000" Interpellation Cottier Remise en cause de la ligne Genève-Romanshorn par Lausanne- Fribourg-Berne dans le projet de "Rail 2000"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w:t>
      </w:r>
    </w:p>
    <w:p>
      <w:r>
        <w:rPr>
          <w:b/>
        </w:rPr>
        <w:t>E. 10</w:t>
      </w:r>
    </w:p>
    <w:p>
      <w:r>
        <w:t>Séance Seduta Geschäftsnummer 93.3214 Numéro d'objet Numero dell'oggetto Datum 04.10.1994 - 08:00 Date Data Seite 1016-1017 Page Pagina Ref. No 20 024 758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