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93.3188 vom 18. Juni 1993</w:t>
      </w:r>
    </w:p>
    <w:p>
      <w:r>
        <w:t>Bundesverwaltung, 1993-06-18, DE</w:t>
      </w:r>
    </w:p>
    <w:p>
      <w:r>
        <w:rPr>
          <w:b/>
        </w:rPr>
        <w:t xml:space="preserve">Quelle: </w:t>
      </w:r>
      <w:r>
        <w:t>https://mcp.opencaselaw.ch/entscheid/ch_vb_93.3188</w:t>
      </w:r>
    </w:p>
    <w:p>
      <w:r>
        <w:t>FR: CH_VB 93.3188 du 18 juin 1993</w:t>
      </w:r>
    </w:p>
    <w:p>
      <w:r>
        <w:t>IT: CH_VB 93.3188 del 18 giugno 1993</w:t>
      </w:r>
    </w:p>
    <w:p>
      <w:pPr>
        <w:pStyle w:val="Heading2"/>
      </w:pPr>
      <w:r>
        <w:t>Erwägungen</w:t>
      </w:r>
    </w:p>
    <w:p>
      <w:r>
        <w:rPr>
          <w:b/>
        </w:rPr>
        <w:t>E. 18</w:t>
      </w:r>
    </w:p>
    <w:p>
      <w:r>
        <w:t>juin 1993 Liberalisierung darf nicht gleichbedeutend sein mit Markt im Inland und Abschottung gegenüber dem Ausland. Wer sich zu einem freiheitlichen Mediensystem bekennt, muss Konkur- renz, auch solche aus dem Ausland, akzeptieren. Dies schliesst das Risiko ein, dass sich die Medienhandelsbilanz unseres Landes weiter verschlechtert; es muss jedoch nicht zwangsläufig so kommen. Wir müssen der Flut von ausländi- schen Programmen aber nicht mit Verboten, sondern mit eige- nen und profilierten Programmen entgegentreten. Dies setzt starke Medien voraus, die sich der ausländischen Konkurrenz stellen und nicht nach Protektionismus und Verboten rufen, wenn ausländische Veranstalter jene Möglichkeiten aus- schöpfen, die ihnen das europäische Uebereinkommen ein- räumt Umgekehrt bietet das Uebereinkommen den schweize- rischen Medien auch Chancen, indem sie grundsätzlich die Möglichkeit haben, die Werbemärkte des benachbarten Aus- lands zu nutzen. 2. Das europäische Uebereinkommen sieht in Artikel 16 aus- drücklich die Möglichkeit von Werbefenstern vor, die sich ei- gens an ein Vertragsland richten. Das Eidgenössische Ver- kehrs- und Energiewirtschaftsdepartement (Departement) hat im Falle von RTL plus diese sogenannten Werbesplits unter bestimmten Bedingungen im Sinne des Uebereinkommens für zulässig erklärt Wir erwarten von den deutschen Behör- den, dass sie umgekehrt für den Fall, dass ein Schweizer Ver- anstalter von dieser Möglichkeit Gebrauch machen möchte, Gegenrecht halten. An diesem Gegenrecht werden die Schweizer Behörden festhalten. Diese Haltung haben wir dem Auswärtigen Amt in Bonn zur Kenntnis gebracht Es wäre übri- gens falsch zu behaupten, die Bundesrepublik lege die ent- sprechenden Bestimmungen des Europäischen Ueberein- kommens anders aus als die Schweiz. Gewiss haben zwei Bundesländer Bedenken angemeldet, entschieden ist die Frage der Weiterverbreitung in unserem nördlichen Nachbar- land aber noch nicht Die Direktoren der deutschen Landes- medienanstalten werden sich dieser rechtlichen Problematik annehmen. 3. Das Programm von RTL plus wird über Satelliten drahtlos verbreitet Parallel ausgestrahlte und für unser Land be- stimmte Werbesplits werden in den Kopfstationen der Schwei- zer Kabelnetze in das deutsche Programm von RTL plus ein- gefügt und über Kabel weiterverbreitet Dieser Sachverhalt ist primär nach den Bestimmungen des Europäischen Ueberein- kommens zu beurteilen, da es um grenzüberschreitende Fernsehsendungen geht Das internationale Recht geht dem RTVG vor, welches das sogenannte Integralprinzip enger fasst So verlangt Artikel 2 Absatz 3 RTVG, dass ein Programm zeitgleich, vollständig und unverändert übernommen und ver- breitet werden muss. Demgegenüber spricht das Europäi- sche Uebereinkommen in Artikel 2 Buchstabe b auch dann von Weiterverbreitung, wenn bloss wichtige Teile eines Pro- grammes gleichzeitig, vollständig und unverändert ins Kabel eingespiesen werden. Das dem RTVG übergeordnete internationale Recht geht also bedeutend weiter und gestattet das Auswechseln einzelner Werbeblöcke. Gestützt wird diese Auslegung auch durch Sinn und Zweck des Integralprinzips, wonach Programme in- und ausländischer Veranstalter durch die Betreiber von Kabelnet- zen und Umsetzern nicht wesentlich verändert werden dürfen. Im vorliegenden Fall wird die ohnehin zulässige geringfügige Manipulation jedoch nicht vom Kabelnetzbetreiber, sondern vom Veranstalter selbst vorgenommen. 4. Da im Sinne vorstehender Erwägungen der Werbesplit als rechtlich zulässig zu betrachten ist, steht das angeregte Ver- bot der Weiterverbreitung nicht zur Diskussion. Dass der Bun- desrat unter medienpolitischen Aspekten durchaus Verständ- nis für die Besorgnis des Interpellanten hat, ist für die rechtli- che Beurteilung des vorliegenden Sachverhalts unerheblich. 5. Dem Bundesrat liegen keine Schadenersatzforderungen vor. Die Frage des Schadenersatzes hätte sich ohnehin erst dann gestellt, wenn eine Amtshandlung gegen die gesetzli- chen Vorschriften verstossen hätte. Präsident: Der Interpellant ist von der Antwort des Bundesra- tes teilweise befriedigt und verlangt Diskussion. Abstimmung - Vote Für den Antrag auf Diskussion Dagegen Verschoben - Renvoyé offensichtliche Mehrheit Minderheit #ST# 93.3073 Interpellation Aguet Vor der Europäischen Menschenrechtskommission angefochtene Volksabstimmung Votation fédérale contestée devant la Commission européenne des droits de l'homme Wortlaut der Interpellation vom 4. März 1993 Die «Union contre les grands jeux d'argent» hat zu Recht bean- standet, dass das vom Bundesrat festgesetzte Datum der eid- genössischen Volksabstimmung über die Aufhebung des Spielbankenverbots nicht genügend Zeit für eine wirklich de- mokratische Meinungsbildung gelassen habe. Sie hat bei der Bundesversammlung deshalb ein Gesuch eingereicht. Darin wurde das Parlament aufgefordert, vom Bundesrat die Ver- schiebung des Abstimmungsdatums zu verlangen. Das Gesuch wurde von der Geschäftsprüfungskommission am 2. Februar 1993 abschlägig beantwortet Die «Union con- tre les grands jeux d'argent» hat darauf bei der Europäischen Menschenrechtskommission in Strassburg eine Beschwerde eingereicht. 1. Kann der Bundesrat die Einreichung dieser Beschwerde bestätigen? 2. War sich der Bundesrat nicht bewusst, dass dieser Schritt dazu führen könnte, dass die Volksabstimmung für ungültig erklärt wird? 3. Müsste er künftig nicht alle notwendigen Massnahmen er- greifen, damit die Daten von Volksabstimmungen rechtzeitig festgelegt und die demokratischen Rechte vollumfänglich ausgeübt werden können? 4. Sollte der Bundesrat nicht Regeln aufstellen, die die Finan- zierungsquellen von Abstimmungskampagnen transparenter werden Hessen? Texte de l'interpellation du 4 mars 1993 L'Union contre les grands jeux d'argent a jugé ajuste titre que la date fixée par le Conseil fédéral pour la votation fédérale sur les casinos ne laissait pas un délai suffisant pour un véritable débat démocratique. Elle a déposé une requête auprès de l'Assemblée fédérale. Elle demandait que le Parlement inter- vienne auprès du gouvernement pour faire repousser la vota- tion. Une réponse négative a été donnée par la Commission de gestion le 2 février 1993. L'Union contre les grands jeux d'ar- gent a, dès lors, déposé un recours auprès de la Commission européenne des droits de l'homme à Strasbourg. Le Conseil fédéral 1. peut-il confirmer le dépôt de ce recours? 2. ne pensait-il pas que cette démarche pourrait conduire à une annulation de la votation populaire? 3. ne devrait-il pas, à l'avenir, prendre toutes les dispositions nécessaires pour garantir que les votations populaires soient fixées assez tôt de manière à ce que les droits démocratiques puissent pleinement s'exercer? 4. ne devrait-il pas fixer des règles qui permettraient plus de transparence dans les sources de financement des campa- gnes liées aux votations populaires?</w:t>
      </w:r>
    </w:p>
    <w:p>
      <w:r>
        <w:t>Schweizerisches Bundesarchiv, Digitale Amtsdruckschriften Archives fédérales suisses, Publications officielles numérisées Archivio federale svizzero, Pubblicazioni ufficiali digitali Interpellation Stamm Luzi Schweizer Werbefenster des Fernsehsenders RTL plus Interpellation Stamm Luzi Emetteur de télévision RTL plus. Espaces publicitaires suisses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93.3188 Numéro d'objet Numero dell'oggetto Datum 18.06.1993 - 08:00 Date Data Seite 1447-1448 Page Pagina Ref. No</w:t>
      </w:r>
    </w:p>
    <w:p>
      <w:r>
        <w:rPr>
          <w:b/>
        </w:rPr>
        <w:t>E. 20</w:t>
      </w:r>
    </w:p>
    <w:p>
      <w:r>
        <w:t>022 943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