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93.3174 vom 8. Oktober 1993</w:t>
      </w:r>
    </w:p>
    <w:p>
      <w:r>
        <w:t>Bundesverwaltung, 1993-10-08, DE</w:t>
      </w:r>
    </w:p>
    <w:p>
      <w:r>
        <w:rPr>
          <w:b/>
        </w:rPr>
        <w:t xml:space="preserve">Quelle: </w:t>
      </w:r>
      <w:r>
        <w:t>https://mcp.opencaselaw.ch/entscheid/ch_vb_93.3174</w:t>
      </w:r>
    </w:p>
    <w:p>
      <w:r>
        <w:t>FR: CH_VB 93.3174 du 8 octobre 1993</w:t>
      </w:r>
    </w:p>
    <w:p>
      <w:r>
        <w:t>IT: CH_VB 93.3174 del 8 ottobre 1993</w:t>
      </w:r>
    </w:p>
    <w:p>
      <w:pPr>
        <w:pStyle w:val="Heading2"/>
      </w:pPr>
      <w:r>
        <w:t>Erwägungen</w:t>
      </w:r>
    </w:p>
    <w:p>
      <w:r>
        <w:rPr>
          <w:b/>
        </w:rPr>
        <w:t>E. 8</w:t>
      </w:r>
    </w:p>
    <w:p>
      <w:r>
        <w:t>octobre 1993 Präsident: Die Interpellanten sind von der Antwort des Bun- desrates nicht befriedigt und verlangen Diskussion. Abstimmung - Vote Für den Antrag auf Diskussion Dagegen Verschoben - Renvoyé offensichtliche Mehrheit Minderheit #ST# 93.3219 Interpellation Hämmerle Gleichgewicht zwischen den Artikeln 31 a und 31 b Landwirtschaftsgesetz Loi sur l'agriculture. Equilibre dans l'application des articles 31 a et 31 b Wortlaut der Interpellation vom 28. April 1993 Artikel 31 b des Landwirtschaftsgesetzes hält ausdrücklich fest, dass die Zahlungen gemäss Artikel 31 b nach einer Ein- führungsperiode die gleiche Grössenordnung erreichen müs- sen wie diejenigen gemäss Artikel 31 a Diese Formel wurde nach langen und kontroversen Beratungen in beiden Räten gefunden. Sie ist für die Neuausrichtung der Landwirtschafts- politik von grösster Bedeutung. Gemäss den Bundesratsbeschlüssen vom 26. April 1993 wer- den im laufenden Jahr insgesamt 320 Millionen Franken Di- rektzahlungen ausgerichtet, davon nur 55 Millionen Franken für ökologisch begründete Zahlungen gemäss Artikel 31 b. Dies sind deutlich weniger als 20 Prozent Der Gesetzesauf- trag wird also weit verfehlt Wir fragen den Bundesrat deshalb an: 1. In welchem Rhythmus beabsichtigt der Bundesrat, die öko- logischen Direktzahlungen aufzustocken? 2. Wann gedenkt der Bundesrat die Einführungsperiode abzu- schliessen und den gesetzlich vorgesehenen Zustand des Gleichgewichts herzustellen? 3. Besteht im Rahmen der laufenden Finanzplanperiode (5 Jahre) ein konkretes Konzept, wie sich die Direktzahlungen nach Artikel 31 a und diejenigen nach Artikel 31 b entwickeln und einander annähern? Wie sehen die entsprechenden Zah- len aus? Texte de l'interpellation du 28 avril 1993 L'article 31 b de la loi sur l'agriculture mentionne expressé- ment que les contributions qu'il vise devront, après une pé- riode d'introduction, avoir atteint le même ordre de grandeur que les paiements visés à l'article 31 a Cette formulation a été arrêtée au terme de longues délibérations, souvent controver- sées, dans les deux Chambres. Elle est capitale pour la nou- velle orientation de la politique agricole. D'après les arrêtés du Conseil fédéral du 26 avril 1993, les paiements directs versés cette année atteindront au total la somme de 320 millions de francs, dont 55 millions - soit bien moins de 20 pour cent - pour les seules contributions pour des prestations écologiques (art 31 b). Le mandat légal est donc loin d'avoir été rempli. Dans ces conditions, je pose au Conseil fédéral les trois ques- tions suivantes: 1. A quel rythme entend-il augmenter les contributions pour des prestations écologiques? 2. Quand pense-t-il que la période de transition sera achevée et quand entend-il rétablir l'équilibre prévu par la loi? 3. Existe-t-il dans le cadre du plan financier en cours (qui est de 5 ans) un projet concret selon lequel les paiements directs visés à l'article 31 a et à l'article 31 b devraient évoluer pour se rapprocher les uns des autres? Quels sont les chiffres corres- pondants? Mitunterzeichner - Cosignataires: Aguet, Baumann, Bäumlin, Béguelin, Bircher Peter, Bodenmann, Borei François, Bühl- mann, Bundi, Carobbio, Caspar-Hutter, Danuser, de Dardel, David, Diener, Eggenberger, Fankhauser, Fasel, Gardiol, Goll, Gross Andreas, Grossenbacher, Haering Binder, Hafner Rudolf, Hafner Ursula, Herczog, Hollenstein, Hubacher, Jori, Ledergerber, Leuenberger Ernst, Leuenberger Moritz, Marti Werner, Mauch Ursula, Meier Hans, Misteli, Rechsteiner, Stei- ger Hans, Strahm Rudolf, Thür, Tschäppät Alexander, Vollmer, Züger (43) Schriftliche Begründung - Développement par écrit Der Urheber verzichtet auf eine Begründung und wünscht eine schriftliche Antwort. Schriftliche Stellungnahme des Bundesrates vom 1. September 1993 Rapport écrit du Conseil fédéral du 1er septembre 1993 Der Interpellant weist zu Recht darauf hin, dass um diese For- mulierung in den Räten gerungen wurde. Der zur Debatte ste- hende Passus (Art. 31 b Abs. 4 LwG) lautet mit dem genauen Wortlaut: «Diese Zahlungen sollen nach einer Einführungspe- riode annähernd die gleiche Grössenordnung erreichen wie diejenigen nach Artikel 31 a» 1. Es ist die Absicht des Bundesrates, möglichst rasch «annä- hernd gleiche Grössenordnungen» zu erreichen. In diesem Sinne hat der Bundesrat in der Verordnung zu Artikel 31 b die folgenden Programme beschlossen: Beiträge für ökologi- schen Ausgleich, integrierte Produktion, biologischen Land- bau und kontrollierte Freilandhaltung. Bei der Durchführung sind allerdings folgende Aspekte zu berücksichtigen: a Zwischen den ergänzenden Direktzahlungen und den Oekobeiträgen bestehen grundsätzliche konzeptionelle Un- terschiede. Letztere basieren im Unterschied zu den ergän- zenden Direktzahlungen auf dem Prinzip der Freiwilligkeit Die Beteiligung der Landwirtschaft ist daher offen und schwierig abzuschätzen. Insbesondere bedingt sie eine entsprechende Weiterbildung der Landwirte und betriebswirtschaftliche Um- stellungen, was mehrere Jahre erfordern kann. b. Die oben erwähnten Programme müssen nun anlaufen. Da- bei ist zu berücksichtigen, dass die bestehenden Regeln für die integrierte Produktion und die kontrollierte Freilandhaltung zum Teil noch ergänzt beziehungsweise konkretisiert und vor allem anerkannt werden müssen, was eine gewisse Zeit bean- sprucht c. Auch verwaltungstechnisch setzen die Programme hohe Anforderungen an die Vollzugsorgane, d. h. die Kantone und Fachorganisationen. Dies betrifft insbesondere die Kontrolle der produktionstechnischen Anforderungen auf den Betrie- ben. Bei knappen finanziellen und personellen Ressourcen in den für den Vollzug zuständigen Behörden ist mit Engpässen zu rechnen, welche die Dauer der Einführungsphase beein- flussen. d. Die Beiträge können nicht beliebig hoch angesetzt werden. Die finanzpolitischen Grundsätze zwingen uns zu einem spar- samen Umgang milden verfügbaren Mitteln. 2. Die Dauer der Einführungsphase hängt von obigen Fakto- ren ab und auch von den allgemeinen Rahmenbedingungen hinsichtlich der Kostenentwicklung, der Preispolitik, der Fi- nanzpolitik usw. Unter Würdigung all dieser Einflussfaktoren ist es das Bestreben des Bundesrates, möglichst schnell an- nähernd gleiche Grössenordnungen zu erreichen. Im konkre- ten verweisen wir auf die Antwort zur Frage 3. 3. In der Finanzplanung sind nachfolgende Beiträge (in Millio- nen Franken) vorgesehen; dabei ist zu beachten, dass die vom Bundesrat am 26. April 1993 beschlossenen Zusatzkre- dite in den ergänzenden Direktzahlungen respektive in den Oekobeiträgen eingerechnet sind:</w:t>
      </w:r>
    </w:p>
    <w:p>
      <w:r>
        <w:t>Schweizerisches Bundesarchiv, Digitale Amtsdruckschriften Archives fédérales suisses, Publications officielles numérisées Archivio federale svizzero, Pubblicazioni ufficiali digitali Interpellation der freisinnig-demokratischen Fraktion Vorrang der inländischen Arbeitnehmer Interpellation du groupe radical-démocratique Priorité aux travailleurs indigènes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93.3174 Numéro d'objet Numero dell'oggetto Datum 08.10.1993 - 08:00 Date Data Seite 2028-2030 Page Pagina Ref. No 20 023 299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