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93.3162 vom 9. März 1994</w:t>
      </w:r>
    </w:p>
    <w:p>
      <w:r>
        <w:t>Bundesverwaltung, 1994-03-09, DE</w:t>
      </w:r>
    </w:p>
    <w:p>
      <w:r>
        <w:rPr>
          <w:b/>
        </w:rPr>
        <w:t xml:space="preserve">Quelle: </w:t>
      </w:r>
      <w:r>
        <w:t>https://mcp.opencaselaw.ch/entscheid/ch_vb_93.3162</w:t>
      </w:r>
    </w:p>
    <w:p>
      <w:r>
        <w:t>FR: CH_VB 93.3162 du 9 mars 1994</w:t>
      </w:r>
    </w:p>
    <w:p>
      <w:r>
        <w:t>IT: CH_VB 93.3162 del 9 marzo 1994</w:t>
      </w:r>
    </w:p>
    <w:p>
      <w:pPr>
        <w:pStyle w:val="Heading2"/>
      </w:pPr>
      <w:r>
        <w:t>Erwägungen</w:t>
      </w:r>
    </w:p>
    <w:p>
      <w:r>
        <w:rPr>
          <w:b/>
        </w:rPr>
        <w:t>E. 9</w:t>
      </w:r>
    </w:p>
    <w:p>
      <w:r>
        <w:t>März 1994 S 201 Verkehrspolitik. Interpellationen 2. Es trifft zu, dass die Budgetkredite des Bundes für Lärm- schutzmassnahmen in Städten und Gemeinden nicht voll aus- geschöpft werden, weil eben die Eigenbelastung der Gemein- den aus allgemeinen Mitteln zu hoch ist und die entsprechen- den kommunalen Kredite nicht gesprochen werden können. 3. Der Verkehrs- und Kommunalpolitiker in mir ist nicht befrie- digt, der Finanzpolitiker ist es teilweise. Summa summarum bin ich, aufgerundet, ungefähr zu 40 Prozent, also teilweise, befriedigt. Schluss der Sitzung um 19.45 Uhr La séance est levée à 19 h 45</w:t>
      </w:r>
    </w:p>
    <w:p>
      <w:r>
        <w:t>Schweizerisches Bundesarchiv, Digitale Amtsdruckschriften Archives fédérales suisses, Publications officielles numérisées Archivio federale svizzero, Pubblicazioni ufficiali digitali Interpellation Loretan Treibstoffzollgelder für den Agglomerationsverkehr Interpellation Loretan Fonds provenant des taxes sur les carburants pour le trafic urbain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93.3162 Numéro d'objet Numero dell'oggetto Datum 09.03.1994 - 15:00 Date Data Seite 197-201 Page Pagina Ref. No 20 024 027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