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93.3132 vom 17. Dezember 1993</w:t>
      </w:r>
    </w:p>
    <w:p>
      <w:r>
        <w:t>Bundesverwaltung, 1993-12-17, DE</w:t>
      </w:r>
    </w:p>
    <w:p>
      <w:r>
        <w:rPr>
          <w:b/>
        </w:rPr>
        <w:t xml:space="preserve">Quelle: </w:t>
      </w:r>
      <w:r>
        <w:t>https://mcp.opencaselaw.ch/entscheid/ch_vb_93.3132</w:t>
      </w:r>
    </w:p>
    <w:p>
      <w:r>
        <w:t>FR: CH_VB 93.3132 du 17 décembre 1993</w:t>
      </w:r>
    </w:p>
    <w:p>
      <w:r>
        <w:t>IT: CH_VB 93.3132 del 17 dicembre 1993</w:t>
      </w:r>
    </w:p>
    <w:p>
      <w:pPr>
        <w:pStyle w:val="Heading2"/>
      </w:pPr>
      <w:r>
        <w:t>Erwägungen</w:t>
      </w:r>
    </w:p>
    <w:p>
      <w:r>
        <w:rPr>
          <w:b/>
        </w:rPr>
        <w:t>E. 17</w:t>
      </w:r>
    </w:p>
    <w:p>
      <w:r>
        <w:t>Dezember 1993 2519 Motion der grünen Fraktion Texte de la motion du 17 mars 1993 Le Conseil fédéral est chargé de soumettre un projet de révi- sion de la constitution en vertu duquel les communes souhai- tant changer d'appartenance cantonale n'auraient besoin plus que de l'assentiment des deux cantons concernés, celui de la Confédération n'étant plus requis. Mitunterzeichner - Cosignataires: Bär, Baumann, Béguelin, Borei François, BrüggerCyrill, Bühlmann, Carobbio, Caspar- Mutter, de Dardel, Eggenberger, von Feiten, Haering Binder, Hafner Ursula, Ledergerber, Mauch Ursula, Ruffy, Steiger Hans, Thür, Tschäppät Alexander, Ziegler Jean, Züger, Zwahlen (22) Schriftliche Begründung - Développement par écrit Der Urheber verzichtet auf eine Begründung und wünscht eine schriftliche Antwort. Schriftliche Stellungnahme des Bundesrates vom 17. November 1993 Rapport écrit du Conseil fédéral du 17 novembre 1993 1. Ausgangslage Die geltende Bundesverfassung enthält keine expliziten Re- geln über territoriale Veränderungen, weder über die Schaf- fung neuer Kantone noch über die Teilung und die Verbindung von Kantonen. Auch Kantonswechsel von Gemeinden werden nirgends erwähnt. Massgebend in diesem Zusammenhang sind jedoch Artikel 1 (Garantie des Bestandes der 26 souverä- nen Kantone, welche die Gesamtheit der Schweizerischen Eidgenossenschaft bilden), Artikel 5 (Gewährleistung des Ge- biets der Kantone durch den Bund), Artikel 7 (Verbot von Ver- trägen politischen Inhalts zwischen den Kantonen), Artikel 80 (Zahl der Mitglieder des Ständerates) und Artikel 118 (jeder- zeitige Möglichkeit, die Bundesverfassung ganz oder teilweise zu revidieren). Die überwiegende Lehre geht, gestützt auf diese Artikel, da- von aus, dass Aenderungen von Bestand und Gebiet der Kan- tone einer Bundesverfassungsrevision zugänglich seien; Aen- derungen im Bestand der Kantone bedürften einer formellen Verfassungsrevision (Art. 1, ev. Art. 80 BV), und auch Aende- rungen im Gebiet der Kantone seien im Verfahren der Verfas- sungsrevision zu genehmigen. Da die bundesstaatliche Struk- tur der Eidgenossenschaft ein ausgewogenes Gleichgewicht bilde, genüge es nicht, dass sich die Kantone autonom über Aenderungen verständigten. Neben der Zustimmung des be- troffenen Gebiets und der betroffenen Kantone brauche es deshalb zusätzlich die Zustimmung von Volk und Ständen. Diese Zustimmung von Volk und Ständen sei für Aenderungen von Bestand und Gebiet der Kantone konstitutiv. Da die Aen- derung des Gebiets der Kantone keine formelle Verfassungs- revision nach sich zieht, könnten nach einer anderen Lehrmei- nung Gebietsveränderungen, welche das eidgenössische Gleichgewicht nicht berühren, abschliessend vom Bundesrat oder allenfalls von der Bundesversammlung genehmigt wer- den. Grenzbereinigungen hingegen können nach einhelliger Lehre und ständiger Praxis durch Vertrag zwischen den Kanto- nen vorgenommen werden. Solche Verträge bedürfen der Ge- nehmigung des Bundesrates oder gegebenenfalls der Bun- desversammlung (Art. 7 Abs. 2,102 Ziff. 7 und 85 Ziff. 5 B V). 2. Praxis Im Zusammenhang mit den Bestrebungen für die Wiederverei- nigung der beiden Basel und insbesondere mit der Gründung des Kantons Jura haben sich der Bundesrat und die Bundes- versammlung dafür ausgesprochen, dass eine Aenderung des Bestands oder des Gebiets der Kantone der Zustimmung des betroffenen Gebiets, der beteiligten Kantone sowie des Volkes und der Stände bedarf. Auch für den Anschluss des Laufentals an den Kanton Basel-Landschaft haben sie diese Auffassung vertreten. 3. Frühere Vorstösse im Zusammenhang mit Gebietsverände- rungen Im Jahre 1977 reichten die Kantone Bern und Neuenburg je eine Standesinitiative betreffend die Schaffung einer Verfas- sungsbestimmung über Aenderungen von Bestand und Ge- biet der Kantone ein (77.202 bzw. 78.201). Am 12. Dezember 1990 verlangte eine Motion Bonny (90.949) ebenfalls, dass der Bundesrat dem Parlament eine Verfassungsbestimmung über Gebietsveränderungen in der Eidgenossenschaft vorlege. In seinen Stellungnahmen zu diesen Standesinitiativen kam der Bundesrat zum Schluss, dass es zwar als wünschbar er- scheine, das geltende Recht in der Verfassung zu verankern, dieses Anliegen jedoch nicht vordringlich sei (BB11979 II11139). Die Bundesversammlung folgte dieser Auffassung des Bundesrates. Sie beauftragte ihn mit einer Motion, dem Anliegen im Rahmen der Totalrevision der Bundesverfassung Rechnung zu tragen (AB 1980 S 55-61, N 791-799). Mit der- selben Begründung wurde die Motion Bonny gemäss dem An- trag des Bundesrates als Postulat überwiesen (AB 1991 N 754f.). 4. Schlussfolgerungen Der Bundesrat hat sich in den letzten Jahren mehrmals zur Problematik der Gebietsveränderung geäussert. Nach seiner Ansichtsoll eine verfassungsrechtliche Regelung im Rahmen der Totalrevision der Bundesverfassung verwirklicht werden. In diesem Zusammenhang wird der Bundesrat auch prüfen, ob sich ein Verfassungsartikel über Gebietsveränderungen auf eine blosse Verankerung des geltenden Rechts beschrän- ken soll oder ob gewisse Erleichterungen beziehungsweise Erschwerungen vorzusehen sind. In seinem Bericht vom 25. März 1992 über die Legislatur- planung 1991-1995 hat der Bundesrat die Absicht bekundet, die Arbeiten zur Vorbereitung einer Totalrevision weiter vor- anzutreiben und dem Parlament Entwurf und Botschaft zu ei- ner neuen Bundesverfassung vorzulegen (BBI 1992 II1128). Eine vorgezogene Partialrevision wäre deshalb zeitlich nicht opportun. Schriftliche Erklärung des Bundesrates Déclaration écrite du Conseil fédéral Der Bundesrat beantragt, die Motion in ein Postulat umzu- wandeln. Ueberwiesen als Postulat - Transmis comme postulat #ST# 93.3322 Motion der grünen Fraktion Oekologisierung der EM D-Pachtverträge Motion du groupe écologiste Contrats de bail à ferme du DMF. Mesures en faveur de l'environnement Wortlaut der Motion vom 17. Juni 1993 Der Bundesrat sorgt dafür, dass auf dem gesamten Grundbe- sitz des EMD eine konsequente Oekologisierung der Land- wirtschaftdurchgeführt wird. Erveranlasst, dass die bestehen- den Pachtverträge mit Düngeeinschränkungen und einem Pe- stizidverbot belegt werden. Texte de la motion du 17 juin 1993 Le Conseil fédéral veille à ce que, sur tous les biens-fonds du DMF, il soit pratiqué systématiquement une agriculture respectueuse de l'environnement. Il fait en sorte que les contrats de bail à ferme existants soient assortis de restrictions en matière de fertilisation et d'une interdiction d'utiliser des pesticides.</w:t>
      </w:r>
    </w:p>
    <w:p>
      <w:r>
        <w:t>Schweizerisches Bundesarchiv, Digitale Amtsdruckschriften Archives fédérales suisses, Publications officielles numérisées Archivio federale svizzero, Pubblicazioni ufficiali digitali Motion Gross Andreas Revision des Verfahrens beim Kantonswechsel von Gemeinden Motion Gross Andreas Révision de la procédure permettant aux communes de changer de canton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93.3132 Numéro d'objet Numero dell'oggetto Datum 17.12.1993 - 08:00 Date Data Seite 2518-2519 Page Pagina Ref. No</w:t>
      </w:r>
    </w:p>
    <w:p>
      <w:r>
        <w:rPr>
          <w:b/>
        </w:rPr>
        <w:t>E. 20</w:t>
      </w:r>
    </w:p>
    <w:p>
      <w:r>
        <w:t>023 512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