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93.3110 vom 18. Juni 1993</w:t>
      </w:r>
    </w:p>
    <w:p>
      <w:r>
        <w:t>Bundesverwaltung, 1993-06-18, DE</w:t>
      </w:r>
    </w:p>
    <w:p>
      <w:r>
        <w:rPr>
          <w:b/>
        </w:rPr>
        <w:t xml:space="preserve">Quelle: </w:t>
      </w:r>
      <w:r>
        <w:t>https://mcp.opencaselaw.ch/entscheid/ch_vb_93.3110</w:t>
      </w:r>
    </w:p>
    <w:p>
      <w:r>
        <w:t>FR: CH_VB 93.3110 du 18 juin 1993</w:t>
      </w:r>
    </w:p>
    <w:p>
      <w:r>
        <w:t>IT: CH_VB 93.3110 del 18 giugno 1993</w:t>
      </w:r>
    </w:p>
    <w:p>
      <w:pPr>
        <w:pStyle w:val="Heading2"/>
      </w:pPr>
      <w:r>
        <w:t>Erwägungen</w:t>
      </w:r>
    </w:p>
    <w:p>
      <w:r>
        <w:rPr>
          <w:b/>
        </w:rPr>
        <w:t>E. 18</w:t>
      </w:r>
    </w:p>
    <w:p>
      <w:r>
        <w:t>Juni 1993 1381 Motion Keller Rudolf falls als Ersatz für eine UVP angesehen werden. Die Störfallver- ordnung erfasst den Bereich des Betriebes einer Anlage. Mit der UVP soll dagegen die Anlage selbst einer genaueren Prü- fung unterzogen werden. Das drängt sich um so mehr auf, als unterdessen auch die Bundesverfassung Grundsätze über die Gentechnologie enthält. Zudem soll im Rahmen der hängigen Revision des Umweltschutzgesetzes der Umgang mit gen- technisch veränderten Organismen geregelt werden. Schriftliche Stellungnahme des Bundesrates vom 12. Mai 1993 Rapport écrit du Conseil fédéral du 12 mai 1993 Der Inhalt der Motion Gonseth entspricht demjenigen der Mo- tion Baerlocher vom 3. Oktober 1990, UVP für biotechnische und gentechnologische Anlagen. Seit der Antwort des Bun- desrates vom 21. November 1990 auf die Motion Baerlocher ist keine Entwicklung eingetreten, welche den Bundesrat heute zu einer inhaltlichen Aenderung dieser Antwort veran- lassen würde. 1. Die Verordnung vom 19. Oktober 1988 über die Umweltver- träglichkeitsprüfung (UVPV) ist eine reine Verfahrensverord- nung und enthält keine materiellen Vorschriften. Mit der Um- weltverträglichkeitsprüfung (UVP) soll festgestellt werden, ob ein UVP-pflichtiges Projekt den bundesrechtlichen Vorschrif- ten über den Schutz der Umwelt entspricht (Art 3 Abs. 1 UVPV). 2. Da Organismen, soweit sie aus dem Normalbetrieb einer Anlage resultieren, nicht in den Anwendungsbereich des gel- tenden Umweltschutzgesetzes (USG) und anderer bundes- rechtlicher Vorschriften auf dem Gebiet der Umwelt fallen, be- stehen über den Betrieb gentechnischer Anlagen im Bereich Umweltschutz auch keine materiellen Vorschriften. Die Auf- nahme solcher Anlagen in den Anhang UVPV allein würde an dieser Situation nichts ändern. Ein Projekt einer gentechni- schen Anlage könnte also nicht auf seine Konformität mit kon- kreten materiellen Vorschriften über den Schutz der Umwelt überprüft werden. 3. Anlagen, in denen gewisse Mikroorganismen verwendet werden, fallen in den Anwendungsbereich der Störfallverord- nung (StFV). Diese Verordnung betrifft indessen nur potenti- elle Schädigungen durch «ausserordentliche Ereignisse» (Art. 10 USG). Potentielle Schädigungen, die aus dem Nor- malbetrieb resultieren, sind also auch nach Inkrafttreten der StFV nicht erfasst. Eine Ueberprüfung der Vorschriften der StFV im Rahmen einer UVP ergäbe somit gegenüber dem durch die StFV vorgeschriebenen Verfahren (Kurzbericht, Risikoermittlung, Kontrollbericht) keine materiellen Verbes- serungen. 4. Die Botschaft zu einer Aenderung des USG sieht die Einfüh- rung neuer Bestimmungen vor, die den Bundesrat zum Erlass von Vorschriften in diesem Bereich ermächtigen. Sinnvoller- weise wird der Bundesrat deshalb das Begehren der Motion erst dann prüfen, wenn die Aenderung des USG vom Parla- ment beschlossen ist. Schriftliche Erklärung des Bundesrates Déclaration écrite du Conseil fédéral Der Bundesrat beantragt, die Motion in ein Postulat umzu- wandeln. Präsident: Der Vorstoss wird von Herrn Eymann Christoph bekämpft. Die Diskussion wird verschoben. Verschoben - Renvoyé #ST# 93.3074 Motion Keller Rudolf Zusammenführung von Kulturgütern Regroupement de biens culturels Wortlaut der Motion vom 4. März. 1993 Der Bund fördert und unterstützt nationale und internationale Bestrebungen zur Zusammenführung von Kulturgütern. Texte de l'interpellation du 4 mars 1993 La Confédération encourage et soutient les efforts nationaux et internationaux visant à regrouper des biens culturels. Mitunterzeichner-Cosignataires: Bischof, Borradori, Maspoli, Ruf, Stalder, Steffen (6) Schriftliche Begründung - Développement par écrit In den vergangenen - zum Teil von kolonialem Denken ge- prägten - Jahrhunderten wurden quer durch die ganze Welt Kulturgüter «zusammengetragen», die nun bei uns in Museen ausgestellt werden oder in musealen Kellern lagern. So kommt es, dass Teile von Sammlungen einem Schweizer Mu- seum gehören, weitere Teile davon in einem oder mehreren Museen eines anderen oder anderer Länder zu finden sind. Unlängst hat ein bedeutendes Schweizer Museum beschlos- sen, Teile einer Sammlung in ein anderes Land zu geben, um dort die Sammlung zu komplettieren, weil sie dort auch kultur- historisch gesehen am richtigen Ort ist In Deutschland, Frank- reich, Russland und weiteren Ländern ist zunehmend ein ähn- liches Vorgehen zu beobachten. Möglich und immer mehr praktiziert werden auch Tausche von Gegenständen zwischen Museen verschiedener Länder. Solche Tausche können aber auch zwischen Museen im Inland sinnvoll sein. Sicher sind derartige Zusammenführungen aber nicht immer sinnvoll, denn auf jeden Fall muss am neuen Ort die Sicherheit und die Erhaltung der Kulturgüter gewährleistet, ebenso sollte eine gewisse Oeffentlichkeit sichergestellt sein. Es geht mir vor al- lem darum, dass der Bund - ohne allzu grossen Aufwand - al- lenfalls Impulse gibt, Verhandlungen anregt oder führt und nö- tigenfalls für Museen unterstützend wirkt. Besonders asiati- sche, afrikanische und südamerikanische Länder oder zum Beispiel auch Griechenland haben ein grosses Interesse an solchen Zusammenführungen, geht es doch auch darum, ihr kulturelles Erbe zu bewahren. Schriftliche Stellungnahme des Bundesrates vom 19. Mai 1993 Rapport écrit du Conseil fédéral du 19 mai 1993 Der Bundesrat hat im Bericht über die Legislaturplanung 1991-1995 angekündigt, dass er im Bereich des internationa- len Austausches und Handels mit Kulturgütern die Einführung einer Bundeskompetenz in der Verfassung sowie die Ratifika- tion der Unesco-Konvention 1970 prüfen will. Die Motion be- trifft einen Nebenaspekt dieser Bestrebungen, nämlich die in- ternationale Zusammenarbeit und die Ausübung übergreifen- der Solidarität bei der Erhaltung von Ensembles und Samm- lungen. Auch im Inland will der parlamentarische Vorstoss diese Zusammenarbeit anregen. Was die internationale Zusammenführung anbetrifft, wider- spricht die Stossrichtung des Motionärs der vom Bundesrat verfolgten Linie nicht Der Bundesrat wird demnächst eine Ver- nehmlassung über seine Legislaturvorhaben eröffnen. In be- zug auf die nationalen Bestrebungen zur Zusammenführung von Kulturgütern ist auf die beschränkte Verfassungsgrund- lage des Bundes im Bereich der Kultur hinzuweisen. Da der Vorstoss ohnehin Bestrebungen betrifft, die bereits im Gang sind, und da in der Begründung betont wird, dass es dem Motionär darum geht, Impulse zu geben, ist die Form des</w:t>
      </w:r>
    </w:p>
    <w:p>
      <w:r>
        <w:t>Schweizerisches Bundesarchiv, Digitale Amtsdruckschriften Archives fédérales suisses, Publications officielles numérisées Archivio federale svizzero, Pubblicazioni ufficiali digitali Motion Gonseth Umweltverträglichkeitsprüfung für Gentech-Anlagen Motion Gonseth Etudes d'impact sur l'environnement pour les installations de technologie génétique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93.3110 Numéro d'objet Numero dell'oggetto Datum 18.06.1993 - 08:00 Date Data Seite 1380-1381 Page Pagina Ref. No</w:t>
      </w:r>
    </w:p>
    <w:p>
      <w:r>
        <w:rPr>
          <w:b/>
        </w:rPr>
        <w:t>E. 20</w:t>
      </w:r>
    </w:p>
    <w:p>
      <w:r>
        <w:t>022 873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