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93.3095 vom 28. April 1993</w:t>
      </w:r>
    </w:p>
    <w:p>
      <w:r>
        <w:t>Bundesverwaltung, 1993-04-28, DE</w:t>
      </w:r>
    </w:p>
    <w:p>
      <w:r>
        <w:rPr>
          <w:b/>
        </w:rPr>
        <w:t xml:space="preserve">Quelle: </w:t>
      </w:r>
      <w:r>
        <w:t>https://mcp.opencaselaw.ch/entscheid/ch_vb_93.3095</w:t>
      </w:r>
    </w:p>
    <w:p>
      <w:r>
        <w:t>FR: CH_VB 93.3095 du 28 avril 1993</w:t>
      </w:r>
    </w:p>
    <w:p>
      <w:r>
        <w:t>IT: CH_VB 93.3095 del 28 aprile 1993</w:t>
      </w:r>
    </w:p>
    <w:p>
      <w:pPr>
        <w:pStyle w:val="Heading2"/>
      </w:pPr>
      <w:r>
        <w:t>Erwägungen</w:t>
      </w:r>
    </w:p>
    <w:p>
      <w:r>
        <w:rPr>
          <w:b/>
        </w:rPr>
        <w:t>E. 28</w:t>
      </w:r>
    </w:p>
    <w:p>
      <w:r>
        <w:t>avril 1993 #ST# Zweite Sitzung - Deuxième séance Mittwoch, 28. April 1993, Vormittag Mercredi 28 avril 1993, matin 08.00 h Vorsitz - Présidence: Herr Piller 93.113 Folgeprogramm nach der Ablehnung des EWR-Abkommens (Swisslex) Arbeitsgesetz. Aenderung Programme consécutif au rejet de l'Accord EEE (Swisslex) Loi sur le travail. Modification Botschaft und Gesetzentwurf vom 24. Februar 1993 (BBI1805) Message et projet de loi du 24 février 1993 (FF 1757) Antrag der Kommission Eintreten Proposition de la commission Entrer en matière Gemperli, Berichterstatter: Es geht im Arbeitsgesetz darum, dass die Massnahmen bezüglich des Schutzes der Gesund- heit auch auf die öffentliche Verwaltung ausgedehnt werden, insbesondere auf die Bundesverwaltung. Die Kantone sind nicht einbezogen, sie sind aber ihrerseits verpflichtet, im Rah- men ihrer Gesetzgebung diese Ausdehnung auch zu machen. In diesem Sinne hat die Kommission ohne Gegenstimme Ein- treten beschlossen und beantragt Ihnen Zustimmung. Eintreten wird ohne Gegenantrag beschlossen L'entrée en matière est décidée sans opposition Gesamtberatung - Traitement global Titel und Ingress, Ziff. l, II Titre et préambule, ch. I, II Gesamtabstimmung - Vote sur l'ensemble Für Annahme des Entwurfes 35 Stimmen (Einstimmigkeit) An den Nationalrat-Au Conseil national #ST# 93.3095 Interpellation Bloetzer Massnahmen zugunsten der Berglandwirtschaft Mesures en faveur de l'agriculture de montagne Wortlaut der Interpellation vom 10. März 1993 Anlässlich der Beratungen zum 7. Landwirtschaftsbericht und zur Revision des Landwirtschaftsgesetzes hat sowohl der Bun- desrat wie auch das Parlament den Willen bekundet, im Rah- men der neuen Landwirtschaftspolitik mit zweckmässigen Massnahmen zur Förderung der Berglandwirtschaft die land- wirtschaftliche Bewirtschaftung der Agrarflächen und die Er- haltung der Landwirtschaft im Berggebiet sicherzustellen. Eine lebensfähige Bauernschaft ist Voraussetzung für die Ge- währleistung der ländlichen Besiedlung und für die Pflege und Erhaltung unserer Kulturlandschaft in den Randregionen und im Berggebiet Es braucht dazu nicht nur die bäuerliche Fami- lie, sondern insbesondere auch den Nebenerwerbsbauern; ohne diesen ist es nicht möglich, das gesetzte Ziel zu er- reichen. Ich lade deshalb den Bundesrat ein, Auskunft zu geben, ob er bereit ist, im Rahmen der Verordnungen über die Direktzah- lungen gemäss Artikel 31 a und Artikel 31 b LwG: 1. den Rückstand beim Einkommen des Bergbauern gegen- über dem Flachlandbauern wettzumachen und auf den Aus- gleich der Einkommensgefälle zwischen Berggebiet und Tal- gebiet ein Schwergewicht zu legen; 2. die Mindestfläche für unterstützenswerte Landwirtschafts- betriebe von 10 Hektaren auf mindestens 8 Hektaren zu senken; 3. die Betriebe in den Bergzonen l bis IV mit einem Zusatz- beitrag für Tierhalter zu stützen; 4. die Mindestzahl der Grossviehdüngereinheiten von 5 auf 3 zu senken. Texte de l'interpellation du 10 mars 1993 Au cours des délibérations concernant la révision de la loi sur l'agriculture et le 7e rapport relatif à ce domaine, le Conseil fé- déral aussi bien que le Parlement ont déclaré vouloir, dans le cadre de la nouvelle politique agricole, assurer par des mesu- res d'encouragement en faveur de l'agriculture de montagne l'exploitation agricole des terrains réservés à cet effet et le maintien de l'agriculture dans les régions de montagne. Il est indispensable d'avoir une paysannerie viable pour assu- rer le peuplement des régions agricoles, ainsi que l'entretien et le maintien de notre paysage rural dans les régions périphé- riques et celles de montagne. A cet effet, on doit pouvoir compter non seulement sur les familles des paysans, mais aussi sur ceux pour lesquels l'agriculture est une activité se- condaire; sans ces derniers, il ne sera pas possible d'atteindre les objectifs fixés. C'est pourquoi j'invite le Conseil fédéral à dire s'il est prêt, dans le cadre des ordonnances sur les paiements directs et conformément aux articles 31 a et 31 b de la loi sur l'agriculture: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