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93.3080 vom 18. Juni 1993</w:t>
      </w:r>
    </w:p>
    <w:p>
      <w:r>
        <w:t>Bundesverwaltung, 1993-06-18, DE</w:t>
      </w:r>
    </w:p>
    <w:p>
      <w:r>
        <w:rPr>
          <w:b/>
        </w:rPr>
        <w:t xml:space="preserve">Quelle: </w:t>
      </w:r>
      <w:r>
        <w:t>https://mcp.opencaselaw.ch/entscheid/ch_vb_93.3080</w:t>
      </w:r>
    </w:p>
    <w:p>
      <w:r>
        <w:t>FR: CH_VB 93.3080 du 18 juin 1993</w:t>
      </w:r>
    </w:p>
    <w:p>
      <w:r>
        <w:t>IT: CH_VB 93.3080 del 18 giugno 1993</w:t>
      </w:r>
    </w:p>
    <w:p>
      <w:pPr>
        <w:pStyle w:val="Heading2"/>
      </w:pPr>
      <w:r>
        <w:t>Erwägungen</w:t>
      </w:r>
    </w:p>
    <w:p>
      <w:r>
        <w:rPr>
          <w:b/>
        </w:rPr>
        <w:t>E. 18</w:t>
      </w:r>
    </w:p>
    <w:p>
      <w:r>
        <w:t>juin 1993 Schriftliche Stellungnahme des Bundesrates vom 12. Mai 1993 Rapport écrit du Conseil fédéral du 12 mai 1993 1.1 In der Zeitspanne von April 1992 bis Februar 1993 ist die Zahl der Rekurse im Verhältnis zu den erstinstanzlichen Ent- scheiden gegenüber der Vorperiode von April 1991 bis Fe- bruar 1992 um rund 6 Prozent angestiegen. 1.2 Bei Berücksichtigung aller formeller und materieller Erledi- gungen, d. h. aller Beschwerden, die seit dem 1. April 1992 eingegangen sind, ergibt sich eine durchschnittliche Verfah- rensdauer von siebzig Tagen. Diese Zahl ist allerdings wenig aussagekräftig, da ja die längstmögliche Hängigkeit elf Mo- nate (1. April 1992 bis 28. Februar 1993) betrug. Um ein aussa- gekräftiges Bild der durchschnittlichen Verfahrensdauer zu er- halten, müsste mindestens ein Zeitraum von drei Jahren be- rücksichtigt werden. 1.3 Ende Dezember 1992 betrugen die Pendenzen 9261 Be- schwerden und Revisionen betreffend 16039 Personen. Die Zahl der hängigen Beschwerden und Revisionen nahm zwi- schen April und Dezember 1992 um rund 50 Prozent zu (vom EJPD übernommene Pendenzen: 6248 Verfahren = 100 Pro- zent). In den Monaten Januar und Februar 1993 konnte die Zahl der hängigen Beschwerde- und Revisionsverfahren ge- senkt werden (Januar: 8997; Februar 8847). 1.4 Mit ihrer Einsetzung auf den 1. April 1992 müsste die ARK 6248 hängige Beschwerden und Revisionen vom Beschwer- dedienst EJPD übernehmen. Zudem war bis September 1992 eine hohe Zahl von Neueingängen zu verzeichnen. Wohl hat die ARK am 1. April 1992 offiziell die Arbeit aufgenommen, ist aber weitgehend erst im September 1992 Operationen gewor- den. Dazu kommt, dass bei einer völlig neuen Organisations- einheit, an einem neuen Standort, mit völlig neuen Abläufen und mit neuen Mitarbeiterinnen und Mitarbeiter, eine Einarbei- tungs- und Konsolidierungsphase eingerechnet werden muss. Da seit Januar 1993 die Ausgänge höher sind als die Eingänge, ist gegenwärtig kein Rückstau im Rekursverfahren festzustellen. 1.5 Soweit Grundsatzentscheide oder Aenderungen der Pra- xis der ARK anstehen, können solche nur über die Präsiden- tenkonferenz (bestehend aus dem Kommissionspräsidenten und den Kammerpräsidenten) beschlossen werden. Bis jetzt hat die ARK drei Grundsatzentscheide getroffen. Was die Ko- ordination der übrigen Praxis anbelangt, so wird diese ge- mäss Auskunft der ARK über die in der Verordnung vorgese- henen Entscheidgremien, d. h. innerhalb der Kammern und über jene hinweg in der Präsidentenkonferenz gewährleistet, wobei kleinere Abweichungen nie ganz ausgeschlossen wer- den können. Dabei ist anzufügen, dass die Richterinnen und Richter der ARK bei ihren Entscheiden unabhängig und nur dem Gesetz unterworfen sind, und die Aufhebung richterlicher Entscheide im Rahmen der administrativen Aufsicht über die ARK (Bundesrat/Bundesversammlung) unzulässig ist (Art 2 und 17 Abs. 3VOARK). 2.1 Als verwaltungsunabhängige Instanz muss die ARK be- züglich der Lage in den Herkunftsländern selbständige Beur- teilungen vornehmen. Dabei steht ihr unter anderem auch die Dokumentation der Vorinstanz zur Verfügung (vgl. Art. 21 Abs. 2VOARK). 2.2 Neben der Benutzung der Dokumentation des BFF führt die ARK gemäss Artikel 21 Absatz 1 Voark eine eigene Doku- mentation und Bibliothek. Laut eigenen Angaben steht sie zu- dem im Kontakt mit weiteren Institutionen und kann diese an- fragen oder mit Gutachten beauftragen (z. B. EDA, UNHCR, ai, Max-Planck- oder Orient-Institut, SFH, Caritas, Heks, Centre Social Protestant, Helsinki Watch, IKRK, ZDWF, Ofpra). Zu- dem hat sie Zugriff auf das Informations-und Dokumentations- system Asyl (frühestens im Herbst 1993). Nur in beschränktem Umfang steht ihr das Fachwissen der Mitarbeiterinnen und Mitarbeiter der BFF-Dokumentation zur Verfügung, da diese als Teil der Vorinstanz nicht an einem Be- schwerdeentscheid mitwirken dürfen. 2.3 Die eigenständige Lagebeurteilung gehört zur Ueberprü- fungspflicht der ARK Als Bestandteil des Verfahrens kann sie deshalb nicht als Verzögerung bezeichnet werden. Eine um- fangreiche Lagebeurteilung (mit Gutachtensaufträgen an ex- terne Fachleute) hat bis jetzt laut Auskunft der ARK nicht statt- gefunden. Im übrigen verweist der Bundesrat auch auf den Geschäftsbe- richt der ARK, den er der Bundesversammlung zugestellt hat Präsident: Die Interpellantin ist von der Antwort des Bundes- rates tei l weise befriedigt und verlangt Diskussion. Abstimmung - Vote Für den Antrag auf Diskussion Dagegen Verschoben - Renvoyé offensichtliche Mehrheit Minderheit #ST# 93.3032 Interpellation Camponovo Ladenschlusszeiten Interpellanza Camponovo Orario di apertura dei negozi Interpellation Camponovo Heures de fermeture des magasins Wortlaut der Interpellation vom 1. März 1993 Die Kartellkommission und der Preisüberwacher haben eine Untersuchung über die Ladenöffnungszeiten vorgelegt (Veröf- fentlichungen der Schweizerischen Kartellkommission und des Preisüberwachers, Heft 1992/2), die in folgende Empfeh- lungen mündet: 4. Empfehlung Weder Arbeitnehmerinteressen noch externe Effekte noch die wünschenswerte Versorgungsdichte vermögen eine Be- schränkung der Ladenöffnungszeiten zu begründen. Die Kar- tellkommission empfiehlt deshalb gemäss Artikel 25 Kartellge- setz: -die bestehenden Ladenschlussvorschriften sind aufzu- heben; - die gerechtfertigten Interessen, welche heute mittels Laden- schlussvorschriften geschützt werden, sind in speziellen Ge- setzen zu regeln; - Arbeitsgesetz und Gesetze, welche die Bereiche Verkehr, Lärm und Ruhestörungen betreffen, sind wettbewerbsneutral auszugestalten. Die Kartellkommission fordert Bund, Kantone und Gemeinden auf, ihre Vorschriften entsprechend zu ändern. Ich frage den Bundesrat, ob er diesen Empfehlungen Folge leisten will und, wenn ja, welche Oeffnungszeiten und welche praktische Ausgestaltung er befürwortet? Testo dell'interpellanza del 1° marzo 1993 La Commissione dei cartelli e il preposto alla sorveglianza dei prezzi hanno formulato un rapporto (fascicolo no. 2 del 1992) sugli orari di apertura dei negozi che conclude con le seguenti raccomandazioni: 4. Raccomandazioni Né gli interessi dei lavoratori né gli effetti esterni e nemmeno la densità auspicabile di approwigionamento possono motivare una limitazione degli orari di apertura dei negozi. Giusta l'arti- colo 25 della legge sui cartelli, la Commissione dei cartelli rac- comanda pertanto: - le prescrizioni esistenti in merito alla chiusura dei negozi de- vono essere abrogate; - gli interessi giustificati, che devono attualmente essere pro- tetti mediante prescrizioni sulla chiusura dei negozi, devono essere disciplinati in leggi speciali; - la legge sul lavoro e le leggi che riguardano il traffico, il ru- more e la perturbazione della quiete pubblica devono essere</w:t>
      </w:r>
    </w:p>
    <w:p>
      <w:r>
        <w:t>Schweizerisches Bundesarchiv, Digitale Amtsdruckschriften Archives fédérales suisses, Publications officielles numérisées Archivio federale svizzero, Pubblicazioni ufficiali digitali Interpellation Heberlein Tätigkeit der Asylrekurskommission Interpellation Heberlein Activité de la Commission de recours en matière d'asile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93.3080 Numéro d'objet Numero dell'oggetto Datum 18.06.1993 - 08:00 Date Data Seite 1435-1436 Page Pagina Ref. No</w:t>
      </w:r>
    </w:p>
    <w:p>
      <w:r>
        <w:rPr>
          <w:b/>
        </w:rPr>
        <w:t>E. 20</w:t>
      </w:r>
    </w:p>
    <w:p>
      <w:r>
        <w:t>022 933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