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93.3060 vom 18. Juni 1993</w:t>
      </w:r>
    </w:p>
    <w:p>
      <w:r>
        <w:t>Bundesverwaltung, 1993-06-18, DE</w:t>
      </w:r>
    </w:p>
    <w:p>
      <w:r>
        <w:rPr>
          <w:b/>
        </w:rPr>
        <w:t xml:space="preserve">Quelle: </w:t>
      </w:r>
      <w:r>
        <w:t>https://mcp.opencaselaw.ch/entscheid/ch_vb_93.3060</w:t>
      </w:r>
    </w:p>
    <w:p>
      <w:r>
        <w:t>FR: CH_VB 93.3060 du 18 juin 1993</w:t>
      </w:r>
    </w:p>
    <w:p>
      <w:r>
        <w:t>IT: CH_VB 93.3060 del 18 giugno 1993</w:t>
      </w:r>
    </w:p>
    <w:p>
      <w:pPr>
        <w:pStyle w:val="Heading2"/>
      </w:pPr>
      <w:r>
        <w:t>Erwägungen</w:t>
      </w:r>
    </w:p>
    <w:p>
      <w:r>
        <w:rPr>
          <w:b/>
        </w:rPr>
        <w:t>E. 18</w:t>
      </w:r>
    </w:p>
    <w:p>
      <w:r>
        <w:t>Juni 1993 1405 Interpellation Suter 3. Die massgebenden Vorschriften des Bundes für die Samm- lung von Abfällen finden sich in der Technischen Verordnung für Abfälle. Diese verlangt in Artikel 6, dass verwertbare Anteile von Siedlungsabfällen, wie beispielsweise Metalle, nach Mög- lichkeit getrennt gesammelt und verwertet werden. Mit der Sammlung von Metallen durch Gemeinden und mit der Aus- dehnung des für Getränkedosen bereits bestehenden Recy- clingsystems auf andere relativ massive Aluminiumver- packungen kann dieser Forderung ohne weiteres entspro- chen werden. Dagegen kann angesichts der hohen Kosten, der technischen Probleme beim Verwerten und der geringen Mengen - die fraglichen Folien entsprachen etwa einem Pro- zent der verwerteten Aluminiumabfälle - auf die Sammlung solcher Abfälle verzichtet werden. Dies gilt um so mehr, als län- gerfristig damit zu rechnen ist, dass ein Grossteil der dünnen Folien durch ökologisch günstigere, beschichtete Kunststoffe ersetzt wird. Erklärung des Interpellanten: befriedigt Déclaration de l'interpellateur: satisfait #ST# 93.3060 Interpellation Suter Rechtswidrige Kampfmassnahmen der bernischen Aerzteschaft Illégalité des mesures coercitives prises par les médecins bernois Wortlaut der Interpellation vom 2. März 1993 Der Bundesrat wird ersucht, Auskunft zu nachstehenden Fra- gen im Zusammenhang mit den Kampfmassnahmen der Aerz- tegesellschaft des Kantons Bern zu erteilen: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