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93.300 vom 3. Dezember 1992</w:t>
      </w:r>
    </w:p>
    <w:p>
      <w:r>
        <w:t>Bundesverwaltung, 1992-12-03, DE</w:t>
      </w:r>
    </w:p>
    <w:p>
      <w:r>
        <w:rPr>
          <w:b/>
        </w:rPr>
        <w:t xml:space="preserve">Quelle: </w:t>
      </w:r>
      <w:r>
        <w:t>https://mcp.opencaselaw.ch/entscheid/ch_vb_93.300</w:t>
      </w:r>
    </w:p>
    <w:p>
      <w:r>
        <w:t>FR: CH_VB 93.300 du 3 décembre 1992</w:t>
      </w:r>
    </w:p>
    <w:p>
      <w:r>
        <w:t>IT: CH_VB 93.300 del 3 dicembre 1992</w:t>
      </w:r>
    </w:p>
    <w:p>
      <w:pPr>
        <w:pStyle w:val="Heading2"/>
      </w:pPr>
      <w:r>
        <w:t>Erwägungen</w:t>
      </w:r>
    </w:p>
    <w:p>
      <w:r>
        <w:rPr>
          <w:b/>
        </w:rPr>
        <w:t>E. 16</w:t>
      </w:r>
    </w:p>
    <w:p>
      <w:r>
        <w:t>März 1995 N 713 Moorlandschaften Objectif visé S'appuyant sur l'article 93 alinéa 2 de la constitution, les can- tons d'Obwald, de Schwytz, des Grisons, de Nidwald et de Zoug ont chacun déposé entre le mois de septembre 1992 et le mois de janvier 1993 une initiative visant à modifier l'article 24sexies de la constitution. Plus précisément, ces can- tons souhaitent: 1. que soit inscrit dans la constitution le principe d'une confrontation des intérêts entre la protection des marais et des sites marécageux, d'une part, et le développement économi- que de la région concernée, d'autre part; 2. que soit abrogée la disposition transitoire qui prévoit le dé- mantèlement de toute installation ou construction postérieure au 1er juin 1983. Développement Les gouvernements des cantons concernés renvoient chacun aux délibérations du Grand Conseil pour appuyer leur ini- tiative. (Les députés peuvent consulter les dossiers au secrétariat de la commission.) Etat des travaux sur le même objet dans l'Assemblée fédérale et dans l'administration Le 18 juin 1992, M. Schnider (92.3254), conseiller national, et MM. Frick (92.432) et Morniroli (92.433), conseillers aux Etats, ont déposé chacun une initiative parlementaire visant peu ou prou les mêmes objectifs (la motion déposée par M. Schnider ayant d'ailleurs recueilli pas moins de 112 voix), suivis le len- demain par M. Blatter (92.434), conseiller national. Le 30 juin 1992, la Ceate avait elle-même déposé une motion (ad 91.045) visant à modifier l'article 24sexies de la constitution. Le 7 octobre 1994, M. Schnider, conseiller national, a à nouveau déposé la motion (94.3455) qu'il avait déposée deux ans aupa- ravant, celle-ci ayant été classée pour n'avoir pas été exami- née par le Conseil dans le délai impératif de deux ans. Parallèlement étaient en cours les travaux relatifs à la révision de la loi fédérale sur la protection de la nature et du paysage (91.045). Après que le projet du Conseil fédéral a fait l'objet d'une première décision de la part du Conseil des Etats le</w:t>
      </w:r>
    </w:p>
    <w:p>
      <w:r>
        <w:rPr>
          <w:b/>
        </w:rPr>
        <w:t>E. 18</w:t>
      </w:r>
    </w:p>
    <w:p>
      <w:r>
        <w:t>juin 1992, la commission du Conseil national a commencé à en délibérer le 30 juin 1992. Considérations de la commission En approuvant les dispositions des articles 23a (Protection des marais), 23abis (Définition et délimitation des sites maré- cageux), 23b (Protection des sites marécageux), 23c (Aména- gement et exploitation des sites marécageux) et 25a (Rétablis- sement de marais et de sites marécageux), les Chambres ont tenu compte autant que possible des préoccupations expri- mées par les cantons par voie d'initiative. Il sera désormais possible, par ailleurs, de procéder en concertation avec les cantons et les autres parties concernées à la délimitation défi- nitive des périmètres des sites marécageux (cf. tableau synop- tique des sites marécageux joint à la réponse faite par le Conseil fédéral à la motion Schnider 94.3455). La commission est donc d'avis que matériellement, les objec- tifs visés par les initiatives des cantons citées plus haut ont de fait été atteints. D'ailleurs, certaines des interventions parle- mentaires citées au point 2 du présent rapport ont déjà été reti- rées, et tout porte à croire que les autres devraient l'être égale- ment dans un avenir proche. La dernière divergence (qui portait sur les conditions dans les- quelles les communes et organisations étaient admises à re- courir) a pu être éliminée par la Conférence de conciliation qui s'est réunie le 24 février 1995, le compromis proposé ayant été adopté par 23 voix sans opposition. Tout porte à croire que les Chambres approuveront ce compromis à la session de prin- temps et que la version révisée de la loi fédérale sur la protec- tion de la nature et du paysage sera adoptée en votation finale. Le dernier obstacle formel ayant ainsi été levé, il n'y a plus de raison de donner suite aux initiatives précitées. Antrag der Kommission Die Kommission beantragt einstimmig, den Initiativen keine Folge geben. Proposition de la commission La commission propose, à l'unanimité, de ne pas donner suite aux initiatives. Blatter Ulrich (C, OW): Seit die sechs Standesinitiativen einge- reicht wurden, haben das EDI respektive das Buwal eine grosse Arbeit geleistet Zahlreiche Kantone konnten im Einver- ständnis mit den Betroffenen die Moorlandschaften definitiv festlegen. Die echt dramatische Situation von 1992 konnte ent- schärft und versachlicht werden. Die intensive Zusammenar- beit zwischen dem Buwal und den Grundbesitzern, Korpora- tionen und Kantonsregierungen hat sich bewährt. Diese Zu- sammenarbeit entspricht übrigens den gesetzlichen Bestim- mungen im Bundesgesetz über den Natur- und Heimatschutz. Damit nun die Bereinigung der restlichen Pendenzen nach dem gleichen, bewährten Verfahren ablaufen wird, bitte ich Frau Bundesrätin Dreifuss, noch vor der Behandlung dieser Standesinitiativen durch den Rat eine persönliche Erklärung abzugeben: Sehr geehrte Frau Bundesrätin Dreifuss, Sie haben uns in der Kommission versichert, dass Sie die Perimeter dem Gesamt- bundesrat erst dann endgültig zur Genehmigung vorlegen werden, wenn Sie die Kantonsregierungen noch einmal ange- schrieben, über den Perimeter informiert und sie zu einer Stel- lungnahme aufgefordert haben. Darf ich Sie bitten, diese Er- klärung im Sinne einer Präzisierung hier zu bestätigen. Dreifuss Ruth, conseillère fédérale: Par l'adoption de la loi fé- dérale sur la protection de la nature et du paysage, à laquelle vous avez procédé tout à l'heure, un progrès décisif a été réa- lisé dans l'application de l'article constitutionnel sur la protec- tion des marais, qui a été introduit dans la constitution à la suite du vote sur l'initiative de Rothenthurm. L'inventaire des sites marécageux prévu par la loi en applica- tion de l'article constitutionnel a, au début de cette procédure, provoqué un certain nombre de craintes et les initiatives des cantons qui sont actuellement sur notre table manifestent ces craintes. A cause du caractère absolu de la disposition consti- tutionnelle, les cantons et les communes ont craint que de grandes parties de leur territoire soient complètement sous- traites aux activités économiques. Je dirai que ces craintes ont pu être réduites par trois éléments: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