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93.110 vom 18. März 1993</w:t>
      </w:r>
    </w:p>
    <w:p>
      <w:r>
        <w:t>Bundesverwaltung, 1993-03-18, DE</w:t>
      </w:r>
    </w:p>
    <w:p>
      <w:r>
        <w:rPr>
          <w:b/>
        </w:rPr>
        <w:t xml:space="preserve">Quelle: </w:t>
      </w:r>
      <w:r>
        <w:t>https://mcp.opencaselaw.ch/entscheid/ch_vb_93.110</w:t>
      </w:r>
    </w:p>
    <w:p>
      <w:r>
        <w:t>FR: CH_VB 93.110 du 18 mars 1993</w:t>
      </w:r>
    </w:p>
    <w:p>
      <w:r>
        <w:t>IT: CH_VB 93.110 del 18 marzo 1993</w:t>
      </w:r>
    </w:p>
    <w:p>
      <w:pPr>
        <w:pStyle w:val="Heading2"/>
      </w:pPr>
      <w:r>
        <w:t>Erwägungen</w:t>
      </w:r>
    </w:p>
    <w:p>
      <w:r>
        <w:rPr>
          <w:b/>
        </w:rPr>
        <w:t>E. 18</w:t>
      </w:r>
    </w:p>
    <w:p>
      <w:r>
        <w:t>mars 1993 Kantonen, via die Fürsorge, betrifft Da wird also nicht leichtfer- tig legiferiert Ich stimme mit Herrn Cottier und der Kommission so weit über- ein, dass ich den Vereinheitlichungsbedarf anerkenne, aber diese Vereinheitlichung kann und darf erst im Rahmen einer umfassenden, vollständigen Regelung in einem zukünftigen Konsumkreditgesetz vorgenommen werden. Der Moment scheint mir falsch zu sein, dieses Minimalprogramm, das wir aufgrund des EWR anzunehmen bereit waren, zum Anlass zu nehmen, um diese ganzen sozialen Absicherungen in den Kantonen mit einem Schlag aufzuheben. So berechtigt also das Anliegen grundsätzlich ist, so falsch ist der Moment, das nun hier durchzuführen. Man wird das auf eine spätere, ge- samtheitliche Regelung verschieben müssen, die auf Bun- desebene erfolgen soll. Sie muss dann aber auch umfassend sein. Bundesrat Koller: Der von Ihrer Kommission vorgeschlagene Artikel 18bis (neu) wirft in der Tat sehr heikle Rechtsprobleme auf, wie eine erste Prüfung bei uns zeigt. Auf der einen Seite ist es nach Artikel 64 BV so, dass der Bund auf dem Gebiete des gesamten Zivilrechts zur Gesetzgebung befugt ist, und dies bedeutet, dass die Kantone nur so lange und so weit zivilrecht- liche - ich betone: zivilrechtliche - Bestimmungen erlassen dürfen, als der Bund von seiner Gesetzgebungskompetenz nicht Gebrauch gemacht hat. Das hat das Bundesgericht in ei- nem neueren Entscheid (108 Ib 397) ausdrücklich so festge- halten. Diese Aufteilung der Gesetzgebungskompetenzen auf dem Gebiete des Zivilrechts wird für den Bereich des ZGB mit Einschluss des OR in Artikel 5 ZGB und in Artikel 51 des Schlusstitels ZGB ausdrücklich bestätigt. Insofern könnte man, was das Zivilrecht anbelangt, sagen, dieser Artikel halte eigentlich nur etwas fest, was von Verfassung wegen und auf- grund der genannten Bestätigung im ZGB bereits gelte. Die Frage ist natürlich, ob wirklich nur das gemeint ist, weil im An- trag Ihrer Kommission davon nicht die Rede ist. Es könnte nämlich an sich sogar noch mehr gemeint sein, denn nach Ar- tikel 6 Absatz 1 ZGB werden die Kantone in ihren öffentlich- rechtlichen Befugnissen durch das Bundeszivilrecht an sich nicht beschränkt Aber Lehre und Rechtsprechung anerken- nen sogar, dass der Bundesgesetzgeber eine bestimmte Re- gelung - beispielsweise eben jene über den Konsumkreditver- trag - auch gegenüber dem öffentlichen kantonalen Recht als abschliessend erklären darf. Ich verweise auch hier auf einen Bundesgerichtsentscheid (113 la 311). Es bestände also an sich sogar diese weiter gehende Interpretationsmöglichkeit, von der aber Herr Cottier gesagt hat, dass das eigentlich nicht der Wille Ihrer Kommission war. Würde nun diese weiter ge- hende Interpretation tatsächlich bedeuten, dass damit auch die öffentlich-rechtlichen Gesetzgebungskompetenzen der Kantone aufgehoben wären, dann hätten wir ein offensichtli- ches Problem mit Artikel 73 Absatz 2 OR, wonach es eben dem öffentlichen Recht vorbehalten bleibt, Bestimmungen gegen Missbräuche im Zinswesen - vor allem auch sogenannte Höchstzinsvorschriften - aufzustellen. Diese Swisslex-Vorlage enthält eben - in Analogie zur Euro- lex-Vorlage - keinerlei Höchstzinsvorschriften; der europa- rechtliche Konsumentenschutz basiert vielmehr mit guten Gründen in erster Linie auf Information und auf Berechnungs- vorschriften des effektiven Jahreszinses. Wenn man nun Artikel 18bis die Auslegung beimässe, dass auch die öffentlich-rechtlichen Kompetenzen ausschliesslich Bundessache wären, dann hätten wir natürlich mit diesem Ge- setz die Möglichkeit der Kantone, Höchstzinsvorschriften zu erlassen - im entsprechenden Konkordat sind es bekanntlich heute 18 Prozent-, auch aufgehoben. Wenn ich das richtig sehe, ist das auch nicht der Wille der Kommission. Ich bin daher der Meinung, dass wir die Frage von Artikel 18bis zuhanden des Zweitrates noch einmal ganz gründlich klären müssen. Der Kommissionsantrag enthält nämlich ein berechtigtes Anliegen, indem man sagt, mit die- sem Bundesgesetz über die Konsumkreditverträge solle der Bund zivilrechtlich abschliessend reglementieren. Hingegen ist es ja offenbar auch nicht der Wille Ihrer Kommission, dass man beispielsweise Höchstzinsvorschriften ausschliessen will - wie sie jetzt aufgrund des Konkordates gelten und wie sie Ihnen der Bundesrat allenfalls einmal in Ausführung der Mo- tion Affolter oder der Standesinitiative Luzern präsentieren wird. Ich glaube also, die Formulierung hat einen berechtigten Kern, ist aber missverständlich und bedarf daher auf jeden Fall der Bereinigung im Zweitrat. Frau Meier Josi: Genau hier, Herr Bundesrat, hake ich ein. Ich habe mich bemüht, auch die Unterlagen der Kommission an- zuschauen, und habe dabei festgestellt, dass dieser Antrag genau mit der Begründung der 15 Prozent eingegeben wurde. Das bedeutet eben die Beschneidung der öffentlich-rechtli- chen Kompetenzen der Kantone, und dagegen wehre ich mich. Ich habe gar nichts dagegen, wenn im Zweitrat ein ent- sprechend reduzierter Antrag aufgenommen wird, aber so- lange der Antrag hier konkret mit der Reduktion von öffentlich- rechtlichen Möglichkeiten begründet wird, kann ich mich nicht damit einverstanden erklären, dass er stehenbleibt Deshalb möchte ich darüber abstimmen lassen. Frau Simmen, Berichterstatterin: Sie haben der Diskussion jetzt entnommen, dass sich hier sehr berechtigte Anliegen ge- genüberstehen. Wir sind Erstrat, und ich möchte Ihnen des- halb nochmals im Namen der Kommission beantragen, hier nun diesen Artikel 18bis einzufügen, damit die Diskussion auch im Zweitrat bereits von Anfang an stattfinden kann. Abstimmung - Vote Für den Antrag Meier Josi 20Stimmen Für den Antrag der Kommission 13 Stimmen Art. 19 Antrag der Kommission Zustimmung zum Entwurf des Bundesrates Proposition de la commission Adhérer au projet du Conseil fédéral Angenommen -Adopté Gesamtabstimmung - Vote sur l'ensemble Für Annahme des Entwurfes 32 Stimmen (Einstimmigkeit) An den Nationalrat-Au Conseil national #ST# 92.301 Standesinitiative Luzern Schaffung eines Konsumkreditgesetzes Initiative du canton de Lucerne Création d'une loi sur le crédit à la consommation Wortlaut der Initiative vom 3. Juli 1992 Der Grosse Rat des Kantons Luzern, gestützt auf Artikel 93 Ab- satz 2 der Bundesverfassung, beschliesst: Die eidgenössischen Räte werden ersucht, mit Ordnungs- und Schutzbestimmungen, baldmöglichst dafür zu sorgen, dass die Risiken des Konsumkredits auf ein Minimum be- schränkt und Missbräuche verhindert werden, insbesondere mit verbindlichen Regelungen wie: - Herabsetzung des Höchstzinssatzes; - Festlegung der maximalen Laufzeit; - Widerrufsrecht</w:t>
      </w:r>
    </w:p>
    <w:p>
      <w:r>
        <w:t>Schweizerisches Bundesarchiv, Digitale Amtsdruckschriften Archives fédérales suisses, Publications officielles numérisées Archivio federale svizzero, Pubblicazioni ufficiali digitali Folgeprogramm nach der Ablehnung des EWR-Abkommens (Swisslex) Konsumkredit. Bundesgesetz Programme consécutif au rejet de l'Accord EEE (Swisslex) Crédit à la consommation. Loi fédérale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93.110 Numéro d'objet Numero dell'oggetto Datum 18.03.1993 - 08:00 Date Data Seite 202-204 Page Pagina Ref. No</w:t>
      </w:r>
    </w:p>
    <w:p>
      <w:r>
        <w:rPr>
          <w:b/>
        </w:rPr>
        <w:t>E. 20</w:t>
      </w:r>
    </w:p>
    <w:p>
      <w:r>
        <w:t>022 606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