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93.059 vom 1. Dezember 1993</w:t>
      </w:r>
    </w:p>
    <w:p>
      <w:r>
        <w:t>Bundesverwaltung, 1993-12-01, DE</w:t>
      </w:r>
    </w:p>
    <w:p>
      <w:r>
        <w:rPr>
          <w:b/>
        </w:rPr>
        <w:t xml:space="preserve">Quelle: </w:t>
      </w:r>
      <w:r>
        <w:t>https://mcp.opencaselaw.ch/entscheid/ch_vb_93.059</w:t>
      </w:r>
    </w:p>
    <w:p>
      <w:r>
        <w:t>FR: CH_VB 93.059 du 1 décembre 1993</w:t>
      </w:r>
    </w:p>
    <w:p>
      <w:r>
        <w:t>IT: CH_VB 93.059 del 1 dicembre 1993</w:t>
      </w:r>
    </w:p>
    <w:p>
      <w:pPr>
        <w:pStyle w:val="Heading2"/>
      </w:pPr>
      <w:r>
        <w:t>Erwägungen</w:t>
      </w:r>
    </w:p>
    <w:p>
      <w:r>
        <w:rPr>
          <w:b/>
        </w:rPr>
        <w:t>E. 1</w:t>
      </w:r>
    </w:p>
    <w:p>
      <w:r>
        <w:t>Ertrag. Die Zunahme des Ertrages nach Budget 1994 um 266,1 Millionen Franken oder 4,3 Prozent gegenüber der Rechnung 1992 ist vor allem auf den Personenverkehr zurück- zuführen, und zwar mit 108,5 Millionen Franken. Auf die Abgel- tungen entfallen 72 Millionen Franken und die Leistungen für die Infrastrukturrechnung 205 Millionen Franken. Beim Personenverkehr wird sich die Mobilität aus wirtschaftli- chen Gründen in den nächsten Jahren eher abschwächen. Bezüglich der Tarife besteht nach Einschätzung der SBB kaum ein Spielraum, weil man davon ausgehen muss, dass die Grenze der Akzeptanz zurzeit erreicht ist Die derzeitigen Verbesserungen im Einnahmenbereich sind denn auch im wesentlichen auf die umfangreichen strukturel- len Tarifänderungen zurückzuführen, die 1994 umsatzrelevant werden. Im Güterverkehr muss leider mit einem rückläufigen Ertrag ge- rechnet werden, der vor allem auf die anhaltende Rezession und auf die grossen Ueberkapazitäten und damit einen star- ken Preisdruck im Strassentransportgewerbe zurückzuführen ist Nach den Annahmen für das Budget 1994 wird das Transport- volumen um 2,5 Prozent zurückgehen, die Verkehrsleistun- gen sogar um 3,3 Prozent Die Abgeltung gemeinwirtschaftlicher Leistungen setzt sich aus den ungedeckten Kosten des regionalen Personenver- kehrs und des Huckepackverkehrs zusammen. Die im Voran- schlag enthaltene Entschädigung im regionalen Personenver- kehr von 725 Millionen Franken berücksichtigt den Bundes- ratsbeschluss vom 23. Juni 1993 in diesem Bereich; er enthält keine Steigerung gegenüber dem Budget 1993. Für den Huckepackverkehr wurde eine Abgeltung von 105 Millionen Franken ermittelt, was 17 Millionen Franken über der Rech-</w:t>
      </w:r>
    </w:p>
    <w:p>
      <w:r>
        <w:t>Schweizerisches Bundesarchiv, Digitale Amtsdruckschriften Archives fédérales suisses, Publications officielles numérisées Archivio federale svizzero, Pubblicazioni ufficiali digitali PTT. Voranschlag 1993. Nachtrag II PTT. Budget 1993. Supplément II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w:t>
      </w:r>
    </w:p>
    <w:p>
      <w:r>
        <w:rPr>
          <w:b/>
        </w:rPr>
        <w:t>E. 03</w:t>
      </w:r>
    </w:p>
    <w:p>
      <w:r>
        <w:t>Séance Seduta Geschäftsnummer 93.059 Numéro d'objet Numero dell'oggetto Datum 01.12.1993 - 08:00 Date Data Seite 859-859 Page Pagina Ref. No 20 023 648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