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92.425 vom 27. April 1993</w:t>
      </w:r>
    </w:p>
    <w:p>
      <w:r>
        <w:t>Bundesverwaltung, 1993-04-27, DE</w:t>
      </w:r>
    </w:p>
    <w:p>
      <w:r>
        <w:rPr>
          <w:b/>
        </w:rPr>
        <w:t xml:space="preserve">Quelle: </w:t>
      </w:r>
      <w:r>
        <w:t>https://mcp.opencaselaw.ch/entscheid/ch_vb_92.425</w:t>
      </w:r>
    </w:p>
    <w:p>
      <w:r>
        <w:t>FR: CH_VB 92.425 du 27 avril 1993</w:t>
      </w:r>
    </w:p>
    <w:p>
      <w:r>
        <w:t>IT: CH_VB 92.425 del 27 aprile 1993</w:t>
      </w:r>
    </w:p>
    <w:p>
      <w:pPr>
        <w:pStyle w:val="Heading2"/>
      </w:pPr>
      <w:r>
        <w:t>Erwägungen</w:t>
      </w:r>
    </w:p>
    <w:p>
      <w:r>
        <w:rPr>
          <w:b/>
        </w:rPr>
        <w:t>E. 27</w:t>
      </w:r>
    </w:p>
    <w:p>
      <w:r>
        <w:t>avril 1993 Al. 2,3 Adhérer au projet du Conseil fédéral M. Petitpierre, rapporteur: Nous avons fait une petite déroga- tion à notre principe, et nous avons renoncé à reprendre tout le droit communautaire. Nous avons maintenu la réserve de l'article 44 alinéa 2. Cela veut dire qu'en cas de procès, le res- ponsable pourrait voir le montant de l'indemnité qu'il doit payer diminuer dans la mesure où, pour reprendre le texte du code, la réparation exposerait le débiteur à la gêne. Cette concession a été liée, dans les débats de la commission, à l'abandon par l'un ou l'autre d'entre nous de la proposition de limiter le montant global des dommages en série. C'est un moindre mal. C'était aussi l'avis du Conseil fédéral et la majo- rité de la commission s'est finalement mise d'accord sur cette formule. Angenommen -Adopté Art. 13 Antrag der Kommission Zustimmung zum Entwurf des Bundesrates Proposition de la commission Adhérer au projet du Conseil fédéral Angenommen -Adopté Art. 14 Antrag der Kommission Zustimmung zum Entwurf des Bundesrates Proposition de la commission Adhérer au projet du Conseil fédéral M. Petitpierre, rapporteur: La mise en circulation n'est pas identique, selon que la responsabilité est celle du producteur ou qu'elle est celle de l'importateur. Pour l'importateur, la mise en circulation pertinente intervient au moment de l'entrée en Suisse du produit, tandis que pour le producteur, elle inter- vient au moment de la mise en circulation où que cela soit du produit. Angenommen -Adopté Art. 15 Antrag der Kommission Zustimmung zum Entwurf des Bundesrates Proposition de la commission Adhérer au projet du Conseil fédéral Angenommen -Adopté Gesamtabstimmung - Vote sur l'ensemble Für Annahme des Entwurfes</w:t>
      </w:r>
    </w:p>
    <w:p>
      <w:r>
        <w:rPr>
          <w:b/>
        </w:rPr>
        <w:t>E. 31</w:t>
      </w:r>
    </w:p>
    <w:p>
      <w:r>
        <w:t>Stimmen 1 Stimme Präsident: Ich darf nun Herrn Bundesrat Cotti in seiner neuen Funktion als Aussenminister bei uns herzlich begrüssen. Ich möchte ihm in seinem neuen Amt viel Erfolg und Befriedigung wünschen. Befriedigung ist immer gut, aber Erfolg ist nötig, Herr Bundesrat Wir wünschen Ihnen sehr viel Kraft und Aus- dauer in diesem neuen Amt (Beifall) #ST# 92.3525 Postulat Onken Aussenpolitikder Kantone. Gestaltungsspielraum Politique étrangère. Latitude laissée aux cantons Wortlaut des Postulates vom 16. Dezember 1992 Nach der Ablehnung des Europäischen Wirtschaftsraumes wird die grenzüberschreitende regionale Zusammenarbeit für viele Grenzkantone noch existentiellerals bisher. Die nachbar- schaftliche transnationale Kooperation ist eine der wirkungs- vollsten Möglichkeiten, gesellschaftliche und kulturelle Barrie- ren zu überbrücken, wirtschaftliche Nachteile abzuwenden und gemeinschaftliche Problemlösungen zu erproben. Die Grenzkantone werden - durchaus im wohlverstandenen Interesse der Schweiz - ihren «aussenpolitischen» Hand- lungsspielraum nun noch offensiver und ideenreicher nutzen wollen, wobei sie sich unter anderem auf das internationale Vertragsabschlussrecht gemäss Artikel 9 der Bundesverfas- sung berufen können. Um eine möglichst grosszügige und doch auch wieder sinn- voll eingefasste Ausgestaltung dieser grenzüberschreitenden Zusammenarbeit zu begünstigen, wird der Bundesrat eingela- den, in einem Bericht die rechtlichen und institutionellen Handlungsmöglichkeiten auszuloten und darzulegen, beson- ders erfolgreiche Kooperationsformen im Grenzraum aufzu- zeigen und seine Perspektive einer innovativen «aussenpoliti- schen» Rolle der schweizerischen Grenzkantone im weiteren Integrationsprozess zu formulieren. Texte du postulat du 16 décembre 1992 Le rejet de l'EEE rend la coopération transfrontalière entre ré- gions plus vitale que jamais pour de nombreux cantons limi- trophes. En effet, il s'agit là du moyen le plus efficace d'abattre les barrières qui séparent les sociétés et les cultures, de sur- monter les handicaps économiques et d'essayer de résoudre les problèmes par la voie de la collaboration. Les cantons limitrophes, qui vont vouloir - dans l'intérêt bien compris de la Suisse - utiliser avec une combativité et une in- ventivité accrues la marge de manoeuvre dont ils disposent en matière de politique étrangère, pourront notamment se préva- loir du droit de conclure des traités avec les Etats étrangers que leur confère l'article 9 de la Constitution fédérale. Afin d'élargir le plus possible la portée de cette coopération transfrontalière sans pour autant en réduire l'efficacité, le Con- seil fédéral est prié de rédiger un rapport dans lequel: - il évaluera quels sont les moyens d'action juridiques et insti- tutionnels dont disposent les cantons et il en fera un exposé détaillé; - il présentera en particulier des exemples de la manière dont la coopération transfrontalière dans les régions limitrophes peut s'exercer avec efficacité; - il dira enfin dans quelle mesure, dans le processus d'intégra- tion en cours, il pense que les cantons limitrophes de la Suisse pourront mener une politique étrangère innovatrice. Mitunterzeichner-Cosignataires: Beerli, Béguin, Bloetzer, Ca- velty, Cottier, Coutau, Delalay, Frick, Gadient, Iten Andréas, Meier Josi, Petitpierre, Piller, Plattner, Rhinow, Roth, Salvioni, Schiesser, Schoch, Seiler Bernhard, Simmen, Weber Monika, Zimmerli (23) Onken: Seit dem 6. Dezember des letzten Jahres sind wir da- bei, uns auf eine neue europapolitische Situation einzustellen. Nach dem selbstauferlegten Abseitsstehen vom Europäi- schen Wirtschaftsraum versuchen wir, die verbleibenden Op- tionen auszuloten und offenzuhalten, was immer das heisst Der Bundesrat sucht sein Heil in bilateralen Verhandlungen.</w:t>
      </w:r>
    </w:p>
    <w:p>
      <w:r>
        <w:t>Schweizerisches Bundesarchiv, Digitale Amtsdruckschriften Archives fédérales suisses, Publications officielles numérisées Archivio federale svizzero, Pubblicazioni ufficiali digitali Parlamentarische Initiative (Morniroli) Für eine freie Schweiz. EG-Beitrittsverhandlungen vors Volk! Initiative parlementaire (Morniroli) Pour une Suisse libre. Le peuple doit décider des négociations visant l'adhésion à la CE Iniziativa parlamentare (Morniroli) Per una Svizzera libera. Negoziati d'adesione alla CE dinanzi al popolo!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92.425 Numéro d'objet Numero dell'oggetto Datum 27.04.1993 - 14:00 Date Data Seite 248-250 Page Pagina Ref. No 20 022 720</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