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92.414 vom 19. März 1993</w:t>
      </w:r>
    </w:p>
    <w:p>
      <w:r>
        <w:t>Bundesverwaltung, 1993-03-19, DE</w:t>
      </w:r>
    </w:p>
    <w:p>
      <w:r>
        <w:rPr>
          <w:b/>
        </w:rPr>
        <w:t xml:space="preserve">Quelle: </w:t>
      </w:r>
      <w:r>
        <w:t>https://mcp.opencaselaw.ch/entscheid/ch_vb_92.414</w:t>
      </w:r>
    </w:p>
    <w:p>
      <w:r>
        <w:t>FR: CH_VB 92.414 du 19 mars 1993</w:t>
      </w:r>
    </w:p>
    <w:p>
      <w:r>
        <w:t>IT: CH_VB 92.414 del 19 marzo 1993</w:t>
      </w:r>
    </w:p>
    <w:p>
      <w:pPr>
        <w:pStyle w:val="Heading2"/>
      </w:pPr>
      <w:r>
        <w:t>Erwägungen</w:t>
      </w:r>
    </w:p>
    <w:p>
      <w:r>
        <w:rPr>
          <w:b/>
        </w:rPr>
        <w:t>E. 19</w:t>
      </w:r>
    </w:p>
    <w:p>
      <w:r>
        <w:t>März 1993 N 549 Parlamentarische Initiative. Verrechnungssteuer sehe Initiative sind nämlich nicht spurlos an den schwarzen Schafen des Versandhandels vorübergegangen. Die Kurfürst- waren-Versand AG hat - das haben meine Abklärungen erge- ben - seit dem Urteil von Zug von den gerügten, zweifelhaften Werbemethoden Abstand genommen. Die Garantie-Versand AG in Kreuzungen ist zumindest zurückhaltender geworden. Nur die Herz-Versand AG in Schwerzenbach hat noch keine Reaktion gezeigt. Es ist aber zu hoffen, dass die Selbstregulie- rungskraft der freien Marktwirtschaft diese Aussenseiter letzt- lich doch noch zur Raison bringen wird. Sollte allerdings das Gegenteil eintreten und sollten die Schwachstellen des UWG weiterhin von unehrenhaften Versandhäusern missbraucht und umgangen werden, behalte ich mir vor, zu einem späte- ren Zeitpunkt auf die Angelegenheit zurückzukommen. Präsident: Die Kommission beantragt, der Initiative keine Folge zu geben. Zustimmung -Adhésion #ST# 92.414 Parlamentarische Initiative (Reimann Maximilian) Verzinsung des Rückerstattungsanspruchs der Verrechnungssteuer Initiative parlementaire (Reimann Maximilian) Remboursement de l'impôt anticipé. Bonification des intérêts Kategorie IV, Art. 68 GRN - Catégorie IV, art 68 RCN Wortlaut der Initiative vom 20. März 1992 Im Sinne von Artikel 93 Absatz 1 der Bundesverfassung und von Artikel 21 bis ff. des Geschäftsverkehrsgesetzes unter- breite ich in Form einer allgemeinen Anregung folgende parla- mentarische Initiative: Das Bundesgesetz über die Verrechnungssteuer vom 13. Ok- tober 1965 ist im zweiten Abschnitt über die Steuerrückerstat- tung so zu ändern, dass zumindest natürliche und juristische Personen mit Wohn- bzw. Geschäftssitz in der Schweiz An- spruch auf eine marktkonforme Verzinsung des Rückerstat- tungsanspruchs haben. Die Verzinsung beginnt spätestens am 1. Januar jenes Kalenderjahres, in welchem ein Rücker- stattungsantrag eingereicht worden ist Texte de l'initiative du 20 mars 1992 Me fondant sur l'article 93 alinéa premier de la constitution et sur les articles 21 bis et suivants de la loi sur les rapports entre les conseils, je présente une initiative parlementaire conçue en termes généraux. Il faut modifier la loi fédérale du 13 octobre 1965 sur l'impôt anticipé et, plus précisément, le chapitre deuxième qui traite du remboursement de l'impôt anticipé, de telle sorte qu'au moins les personnes physiques ou morales ayant leur domi- cile ou leur siège en Suisse puissent prétendre à ce qu'on leur verse des intérêts conformes aux conditions du marché sur la somme qui doit leur être remboursée. Ces intérêts devraient courir au plus tard à partir du 1er janvier de l'année civile au cours de laquelle la demande de remboursement est pré- sentée. Herr Matthey unterbreitet im Namen der Kommission den fol- genden schriftlichen Bericht: Wir unterbreiten Ihnen hiermit gemäss Artikel 21ter des Ge- schäftsverkehrsgesetzes den Bericht der vorprüfenden Kom- mission über die von Nationalrat Reimann Maximilian am</w:t>
      </w:r>
    </w:p>
    <w:p>
      <w:r>
        <w:rPr>
          <w:b/>
        </w:rPr>
        <w:t>E. 20</w:t>
      </w:r>
    </w:p>
    <w:p>
      <w:r>
        <w:t>022 416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