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92.410 vom 16. Juni 1993</w:t>
      </w:r>
    </w:p>
    <w:p>
      <w:r>
        <w:t>Bundesverwaltung, 1993-06-16, DE</w:t>
      </w:r>
    </w:p>
    <w:p>
      <w:r>
        <w:rPr>
          <w:b/>
        </w:rPr>
        <w:t xml:space="preserve">Quelle: </w:t>
      </w:r>
      <w:r>
        <w:t>https://mcp.opencaselaw.ch/entscheid/ch_vb_92.410</w:t>
      </w:r>
    </w:p>
    <w:p>
      <w:r>
        <w:t>FR: CH_VB 92.410 du 16 juin 1993</w:t>
      </w:r>
    </w:p>
    <w:p>
      <w:r>
        <w:t>IT: CH_VB 92.410 del 16 giugno 1993</w:t>
      </w:r>
    </w:p>
    <w:p>
      <w:pPr>
        <w:pStyle w:val="Heading2"/>
      </w:pPr>
      <w:r>
        <w:t>Erwägungen</w:t>
      </w:r>
    </w:p>
    <w:p>
      <w:r>
        <w:rPr>
          <w:b/>
        </w:rPr>
        <w:t>E. 16</w:t>
      </w:r>
    </w:p>
    <w:p>
      <w:r>
        <w:t>Juni 1993 N 1299 Parlamentarische Initiativen. Volksrechte Seit 1874 hat sich die Bevölkerung aber vervierfacht, weshalb das ursprüngliche Quorum von fast 5 Prozent der Wohnbevöl- kerung heute nur noch bei gut 1 Prozent liegt. Mit anderen Wor- ten: Auch wenn man berücksichtigt, dass der Anteil der nicht- stimmberechtigten Ausländer an der Wohnbevölkerung zuge- nommen hat, so sind die Hürdenfürdiedemokratische Mitspra- che im Laufe der Jahre doch deutlich niedriger geworden. Das bestätigt auch ein Blick auf die Kantone. Ueberblickt man die 22 Kantone, die das fakultative Gesetzesreferendum ken- nen, und berücksichtigt man die beiden Kriterien - Unter- schriftenzahl und zeitliche Befristung - gleichermassen, so stellen nur zwei der 22 Kantone niedrigere Hürden auf als der Bund. Oder wieder mit anderen Worten: Eine angemessene Erhöhung der Unterschriftenzahlen beim Referendum erweist sich mit nüchternem Blick auf die Zahlen als eine blosse Wie- derherstellung (oder genauer gesagt: sogar nur als eine Annä- herung) gegenüber einem früheren Zustand und nicht als Ein- schränkung bestehender Volksrechte. Nun ist von den Sprechern der Kommissionsmehrheit einge- wendet worden, bei einer Erhöhung der Unterschriftenzahlen würden die Schwierigkeiten, das Quorum zu erreichen, nicht proportional, sondern exponentiell steigen. Dem ist entgegen- zuhalten, dass die modernen Kommunikations- und Werbe- mittel, aber auch der höhere Organisationsgrad der politi- schen Interessengruppen gegenüber der Zeit vor 120 Jahren in die Gegenrichtung wirken. Andererseits gebe ich durchaus zu, dass der andere Einwand, seit der Erhöhung von 1977 wür- den die Bevölkerungszahlen nicht mehr stark ansteigen, wo- mit ein akuter Handlungsbedarf nicht gegeben sei, etwas für sich hat. Ich halte denn auch die Erhöhung des Quorums beim Refe- rendum nicht allein aus arithmetischen Gründen für ausgewie- sen, sondern mir geht es mindestens ebensosehr um eine zweite Ueberlegung - um eine Frage, die wir uns ständig stel- len sollten -: um die Frage der Optimierung der Demokratie, der Erhaltung eines funktionsfähigen politischen Entschei- dungsmechanismus und das Verhindern, dass sich die De- mokratie selber blockiert. Unter diesem Gesichtspunkt ist das Referendum, das Veto- recht des Volkes bei der Gesetzgebung, im Vergleich zum Ausland vorerst einmal als zusätzliche Kaskade im Entschei- dungsablauf zu sehen, nach den Stufen Vorlage der Regie- rung, Kommission und Plenum Erstrat, Kommission und Ple- num Zweitrat sowie Differenzbereinigung. Diese zusätzliche Stufe, diese zusätzliche Korrekturmöglichkeit hat zur Folge, dass einerseits unser politisches System zwar den einen oder anderen Fehler weniger produziert, dass es andererseits aber langsamer arbeitet als der politische Apparat im Ausland. Von diesen Folgen ist die eine erwünscht, die andere indessen muss uns gerade angesichts der zunehmenden internationa- len Vernetzung Sorge bereiten. Welches ist nun die Nutzanwendung dieser politischen Be- trachtung unter dem Gesichtspunkt der Optimierung der De- mokratie? Sie bedeutet sicher zum einen, dass auf das Refe- rendum als zusätzliche Kaskade im Entscheidungsablauf nicht verzichtet werden soll - was ja auch niemand will -, dass aber zum anderen mit gutem Gewissen verlangt werden darf, dass es zur Infragestellung von Parlamentsbeschlüssen einer gewissen repräsentativen Kraft und einer gewissen oppositio- nellen Grundwelle bedarf, bis die Volksabstimmung als zu- sätzliche Stufe des Entscheidungsablaufs ins Spiel kommt. Eine Anpassung des Unterschriftenquorums beim Referen- dum hätte eine Aufwertung des Parlaments zur Folge. Das ist meines Erachtens nicht etwa anstössig, sondern durchaus er- wünscht. Wir machen gelegentlich den Fehler, die repräsenta- tiven Elemente unserer Demokratie geringzuschätzen. Wir brauchen das Parlament nicht einfach faute de mieux, weil auf Bundesebene die Landsgemeinde nicht mehr praktizierbar ist; wir brauchen vielmehr ein Nebeneinander von direktdemo- kratischen und repräsentativen Elementen aus sachlichen Gründen, weil beide Teile ihre Vorteile aufweisen. Das Parla- ment als repräsentatives Element gewährleistet beispiels- weise die Kontinuität der politischen Arbeit besser, insbeson- dere die Gesetzgebungsarbeit, während Volksabstimmungen zwangsläufig punktuell wirken. Aus diesen Erwägungen beantrage ich Ihnen, der parlamenta- rischen Initiative Rychen Folge zu geben. Weil der Initiant in seinem Votum den Bengel in bezug auf die Erhöhung recht weit geworfen hat, möchte ich noch bemerken, dass es heute nur darum geht, ob eine Erhöhung allgemein sinnvoll ist, wäh- rend über die Zahlen dann anhand einer konkreten Vorlage diskutiert werden kann. Noch einige Worte zur Mindestzahl der Unterschriften bei den Initiativen: Wenn ich mich in meinen Ausführungen auf das Re- ferendum konzentriert habe, so deshalb, weil ich hier den pri- mären Handlungsbedarfsehe. Ich halte es aber für richtig, die Frage bei den Initiativen ebenfalls zu prüfen. Was die arithmeti- sche Seite anbetrifft, läuft die Argumentation parallel. Was meine zweite Begründung anbetrifft - den Aspekt der Optimie- rung der Demokratie -, steht bei der Initiative zwar nicht die Aufwertung des Parlaments im Vordergrund, dafür aber die Frage der Uebernutzung der Demokratie. Jedenfalls scheint es mir sinnvoll, die Unterschriftenzahlen bei beiden Volksrech- ten gleichzeitig anzusehen. Deshalb beantrage ich Ihnen, auch der parlamentarischen In- itiative Seiler Hanspeter Folge zu geben. Präsident: Es haben sieben Fraktionen eine Fraktionserklä- rung zu diesem Traktandum verlangt. Ich schlage Ihnen vor, dass wir die weitere Diskussion auf morgen vertagen. Wyss Paul: Sie haben jetzt diese Traktandenliste zur Kenntnis genommen. Sie haben gehört, dass wir morgen auch noch über die Herbstsession, diese Verschiebung nach Genf, spre- chen sollen; darüber wird ganz bestimmt eine Stunde gespro- chen. Wir werden bis 12 Uhr oder 13 Uhr nicht fertig sein. Wäh- rend der Mittagspause gibt es Veranstaltungen, die fixiert sind. Wir sollten jetzt einmal aufhören, immer wieder Verschiebun- gen vorzunehmen, die wir nicht einhalten können. Wir haben abgemacht, dass wir einen zweiten Nachmittag reservieren, und wir sollten jetzt bestimmen: Morgen wird die Sitzung um 12.30 Uhr beendet Dann können nämlich alle an die Mittags- veranstaltung gehen und kommen um 15 Uhr wieder hierher. Das ist eine vernünftige Ordnung, und alles andere ist nicht mehr seriös. Ich bitte Sie, diesem Ordnungsantrag zuzustimmen. Abstimmung - Vote Für den Ordnungsantrag Wyss Paul offensichtliche Mehrheit Dagegen Minderheit Die Beratung dieses Geschäftes wird unterbrochen Le débat sur cet objet est interrompu Schluss der Sitzung um 20.10 Uhr La séance est levée à 20 h 10</w:t>
      </w:r>
    </w:p>
    <w:p>
      <w:r>
        <w:t>Schweizerisches Bundesarchiv, Digitale Amtsdruckschriften Archives fédérales suisses, Publications officielles numérisées Archivio federale svizzero, Pubblicazioni ufficiali digitali Parlamentarische Initiative (Seiler Hanspeter) Unterschriftenzahl für Volksinitiativen Initiative parlementaire (Seiler Hanspeter) Nombre de signatures requis pour les initiatives populaires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13 Séance Seduta Geschäftsnummer 92.411 Numéro d'objet Numero dell'oggetto Datum 16.06.1993 - 15:00 Date Data Seite 1293-1299 Page Pagina Ref. No</w:t>
      </w:r>
    </w:p>
    <w:p>
      <w:r>
        <w:rPr>
          <w:b/>
        </w:rPr>
        <w:t>E. 20</w:t>
      </w:r>
    </w:p>
    <w:p>
      <w:r>
        <w:t>022 849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