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92.406 vom 14. Dezember 1992</w:t>
      </w:r>
    </w:p>
    <w:p>
      <w:r>
        <w:t>Bundesverwaltung, 1992-12-14, DE</w:t>
      </w:r>
    </w:p>
    <w:p>
      <w:r>
        <w:rPr>
          <w:b/>
        </w:rPr>
        <w:t xml:space="preserve">Quelle: </w:t>
      </w:r>
      <w:r>
        <w:t>https://mcp.opencaselaw.ch/entscheid/ch_vb_92.406</w:t>
      </w:r>
    </w:p>
    <w:p>
      <w:r>
        <w:t>FR: CH_VB 92.406 du 14 décembre 1992</w:t>
      </w:r>
    </w:p>
    <w:p>
      <w:r>
        <w:t>IT: CH_VB 92.406 del 14 dicembre 1992</w:t>
      </w:r>
    </w:p>
    <w:p>
      <w:pPr>
        <w:pStyle w:val="Heading2"/>
      </w:pPr>
      <w:r>
        <w:t>Erwägungen</w:t>
      </w:r>
    </w:p>
    <w:p>
      <w:r>
        <w:rPr>
          <w:b/>
        </w:rPr>
        <w:t>E. 14</w:t>
      </w:r>
    </w:p>
    <w:p>
      <w:r>
        <w:t>décembre 1992 Titre et préambule, eh. I, II Proposition de la commission Adhérer à la décision du Conseil des Etats Angenommen -Adopté Gesamtabstimmung - Vofe sur l'ensemble Für Annahme des Entwurfes 100 Stimmen (Einstimmigkeit) An den Ständerat-Au Conseil des Etats #ST# 92.3212 Motion Cavadini Adriano Steuerpolitisches Programm für den Unternehmensstandort Schweiz Politique fiscale propice à l'implantation d'industries en Suisse Wortlaut der Motion vom 10. Juni 1992 Der Bundesrat wird eingeladen, im Anschluss an die Stempel- revision, das Sanierungsprogramm und die neue Finanzord- nung auch ein steuerpolitisches Programm zu erstellen. Damit sollen mittel- und langfristige Voraussetzungen für unter- nehmerfreundliche Steuermassnahmen, für attraktivere Inve- stitionsbedingungen, für sicherere Arbeitsplätze und für die Fortsetzung einer bedeutenden Sozial- und Umweltpolitik ge- schaffen werden. Im Zusammenhang mit anderen Aenderun- gen unserer Verfassung, Gesetzgebungen und Verordnungen sollte so möglich sein, die schweizerischen Rahmenbedin- gungen und den Standort Schweiz grundsätzlich zu verbes- sern. Zu diesem Anschlussprogramm, mit dem Ziel, unsere Attrakti- vität in Europa zu stärken, gehören: 1. Eliminierung der Taxe occulte; 2. Abbau der Verrechnungssteuer auf ein Niveau, das demje- nigen der wichtigen EG-Länder entspricht. Ein erstes Ziel wäre ein Satz von 20 Prozent; 3. Milderung der steuerlichen Doppelbelastung von Aktienge- sellschaft und Aktionär; 4. Eliminierung der Emissionsabgabe auf der Bildung von Ak- tienkapital; 5. Beseitigung der Umsatzabgabe auf dem börsenmässigen Handel mit Wertpapieren und auf dem Geldmarktpapier; 6. Beseitigung der besonderen steuerlichen Diskriminierung von Immobilienanlagefonds; 7. Ausschaltung des Holding-Quellensteuersockels; 8. Möglichkeit der Gewinn- und Verlustrechnung bei holding- verbundenen Gesellschaften; 9. Vereinfachung und Flexibilität in der Anwendung von Steuergesetzen und Verfahren. Die finanziellen Ausfälle dieser Steuererleichterungen sollten meistens durch eine angemessene Mehrwertsteuer kompen- siert werden. Texte de la motion du 10 juin 1992 Je charge le Conseil fédéral de mettre sur pied, à la suite du programme d'assainissement, du nouveau régime financier et de la révision de la loi sur les droits de timbre, un programme de politique fiscale. Sur la base de ce programme, il s'agira, à moyen et long termes, de prendre des mesures fiscales favo- rables aux entreprises, de créer des conditions propres à atti- rer les investissements, d'accroître la sécurité de l'emploi et de continuer à prendre des mesures importantes dans le do- maine social et écologique. Associé à d'autres modifications de la constitution, de lois et d'ordonnances, cet ensemble de mesures devrait permettre d'améliorer les conditions généra- les et l'attrait économique de notre pays au sein de l'Europe. Les mesures nécessaires à cet effet sont les suivantes: 1. éliminer la taxe occulte; 2. ramener l'impôt anticipé au niveau pratiqué par les grands pays de la CE. Un premier objectif serait de l'abaisser à 20 pour cent; 3. alléger la double charge fiscale qui pèse sur les sociétés anonymes et les actionnaires; 4. supprimer le droit d'émission sur la création du capital- actions; 5. supprimer le droit de négociation sur le commerce en bourse de titres et sur les papiers monétaires; 6. abolir la discrimination fiscale qui frappe tout spécialement les fonds de placement immobiliers; 7. supprimer le montant forfaitaire de l'impôt à la source sur les holdings; 8. permettre aux sociétés apparentées à des holdings d'établir un compte de pertes et profits; 9. simplifier et assouplir l'application des lois sur la fiscalité et les procédures afférentes. Les répercussions financières de ces allégements fiscaux de- vraient être contrebalancées dans leur majeure partie par une taxe appropriée sur la valeur ajoutée. Mitunterzeichner - Cosignataires: Allenspach, Aubry, Berger, Bezzola, Binder, Blocher, Bortoluzzi, Bührer Gerald, Caccia, Chevallaz, Cincera, Cotti, Couchepin, Daepp, Dettling, Eggly, Engler, Etique, Eymann Christoph, Fehr, Fischer-Hägglingen, Fischer-Seengen, Frey Claude, Frey Walter, Friderici Charles, Fritschi Oscar, Früh, Giger, Gros Jean-Michel, Grossenba- cher, Guinand, Gysin, Hari, Heberlein, Hegetschweiler, Hess Peter, Iten Joseph, Jäggi Paul, Leuba, Loeb François, Mamie, Mauch Rolf, Maurer, Miesen, Mühlemann, Müller, Marbel, Neuenschwander, Oehler, Perey, Philipona, Pidoux, Pini, Pon- cet, Raggenbass, Reimann Maximilian, Rohrbasser, Ruck- stuhl, Rutishauser, Rychen, Sandoz, Savary, Scheidegger, Scheurer Rémy, Schmied Walter, Schwab, Seiler Hanspeter, Spoerry, Steinegger, Stucky, Suter, Verterli, Wanner, Wittenwi- ler.WyssPaul.Zölch (76) Schriftliche Begründung - Développement par écrit Pour être eurocompatibles, nous devons axer davantage no- tre politique sur la déréglementation et sur le libre jeu des for- ces du marché. Cela signifie pour les entreprises: -qu'elles doivent investir et innover davantage, afin de conserver leur position sur le marché; - qu'elles réaliseront des bénéfices moins importants en rai- son de l'accroissement de la concurrence et donc - qu'il leur sera plus difficile de s'autofinancer et de constituer des réserves. L'Etat verrase réduire l'assiette fiscale et la libre circulation des capitaux ramènera les taux d'intérêts suisses à la moyenne eu- ropéenne. Il faut ajouter que nous ne pouvons financer notre politique so- ciale et écologique que si notre économie privée est saine et dispose de suffisamment de capital. La Confédération doit elle-même absorber d'énormes capi- taux pour réaliser une série de projets de grande ampleur (NLFA). Ce phénomène fera monter les taux d'intérêts, qui sont le prix du capital, et il accroîtra le besoin de capitaux sup- plémentaires des entreprises, besoin lié au marché européen. Le volume de l'épargne suisse et l'attrait de notre pays sur le plan financier ne suffiront pas à répondre à ce besoin. Il est donc impératif, d'une part, d'améliorer les conditions d'implantation et les conditions générales pour les entreprises suisses, d'autre part, d'attirer de nouveau les investisseurs étrangers et surtout les investisseurs institutionnels. Par ail- leurs, nous devons tout mettre en oeuvre pour éviter le trans- fert de nos entreprises à l'étranger. Pour ce faire, il faut agir à temps, c'est-à-dire préparer dès aujourd'hui les mesures né- cessaires et arrêter pour leur exécution un calendrier auquel on se tiendra rigoureusement. En augmentant l'attrait écono- mique de notre pays, on obtiendrait à moyen terme un accrois- sement de l'assiette fiscale.</w:t>
      </w:r>
    </w:p>
    <w:p>
      <w:r>
        <w:t>Schweizerisches Bundesarchiv, Digitale Amtsdruckschriften Archives fédérales suisses, Publications officielles numérisées Archivio federale svizzero, Pubblicazioni ufficiali digitali Parlamentarische Initiative (Büro des Ständerates) Bundesbeschluss über die Parlamentsdienste. Ergänzung Initiative parlementaire (Bureau du Conseil des Etats) Arrêté fédéral sur les Services du Parlement. Complément In Amtliches Bulletin der Bundesversammlung Dans Bulletin officiel de l'Assemblée fédérale In Bollettino ufficiale dell'Assemblea federale Jahr 1992 Année Anno Band VI Volume Volume Session Wintersession Session Session d'hiver Sessione Sessione invernale Rat Nationalrat Conseil Conseil national Consiglio Consiglio nazionale Sitzung 09 Séance Seduta Geschäftsnummer 92.406 Numéro d'objet Numero dell'oggetto Datum 14.12.1992 - 14:30 Date Data Seite 2516-2518 Page Pagina Ref. No 20 022 039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