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92.3553 vom 2. März 1993</w:t>
      </w:r>
    </w:p>
    <w:p>
      <w:r>
        <w:t>Bundesverwaltung, 1993-03-02, DE</w:t>
      </w:r>
    </w:p>
    <w:p>
      <w:r>
        <w:rPr>
          <w:b/>
        </w:rPr>
        <w:t xml:space="preserve">Quelle: </w:t>
      </w:r>
      <w:r>
        <w:t>https://mcp.opencaselaw.ch/entscheid/ch_vb_92.3553</w:t>
      </w:r>
    </w:p>
    <w:p>
      <w:r>
        <w:t>FR: CH_VB 92.3553 du 2 mars 1993</w:t>
      </w:r>
    </w:p>
    <w:p>
      <w:r>
        <w:t>IT: CH_VB 92.3553 del 2 marzo 1993</w:t>
      </w:r>
    </w:p>
    <w:p>
      <w:pPr>
        <w:pStyle w:val="Heading2"/>
      </w:pPr>
      <w:r>
        <w:t>Erwägungen</w:t>
      </w:r>
    </w:p>
    <w:p>
      <w:r>
        <w:rPr>
          <w:b/>
        </w:rPr>
        <w:t>E. 02</w:t>
      </w:r>
    </w:p>
    <w:p>
      <w:r>
        <w:t>Séance Seduta Geschäftsnummer 92.3553 Numéro d'objet Numero dell'oggetto Datum 02.03.1993 - 08:00 Date Data Seite 35-36 Page Pagina Ref. No 20 022 558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2</w:t>
      </w:r>
    </w:p>
    <w:p>
      <w:r>
        <w:t>mars 1993 Versicherung hatte im Rahmen meiner Vorabklärungen keine Zahlen verfügbar. Die statistische Erfassung basiert noch auf dem alten Suchtmuster «Alkohol und übrige Süchte» und trägt dem heutigen Suchtverhalten, wo viel mehr Drogenkonsu- menten berentet werden, nicht Rechnung. Zweitens sind geeignete Massnahmen zu prüfen, um sicher- zustellen, dass diese Renten für den Lebensunterhalt und nicht für den Suchterhalt der Kranken verwendet werden. So ist es beispielsweise sinnvoll, einen Beistand zu bestellen, wenn Renten an Suchtkranke ausbezahlt werden. Das AHV- Gesetz kennt diese Möglichkeit; in der IV-Versicherung aber ist sie gesetzlich nicht vorgesehen, weil offenbar im Zeitpunkt der Einführung der IV die heutige Suchtproblematik im heuti- gen Ausmass und in der heutigen Art gar nicht bekannt war. Möglich ist auch eine vertiefte Zusammenarbeit des Bundes- amtes für Sozialversicherung, allenfalls des Bundesamtes für Gesundheitswesen mit den vormundschaftlichen Behörden der Kantone, um sicherzustellen, dass allenfalls ein Beistand ernannt wird oder andere Massnahmen getroffen werden. Ich bitte Sie schliesslich, Herr Bundesrat, dem Rat Bericht über die Problematik zu erstatten und geeignete Massnahmen in ei- gener Kompetenz zu treffen oder, falls es nötig ist, dem Parla- ment die gesetzlichen Aenderungen vorzuschlagen. Die ganze Problematik beschlägt einen Teilaspekt der Dro- gen- und Suchtproblematik, wo wir Ordnung schaffen müs- sen. Wir haben den ganzen Morgen darüber gesprochen, wie Süchte zu bekämpfen sind. Wo wir die Not, die aus diesen Süchten entsteht, mit der IV-Rente lindern wollen, ist es unsere Aufgabe sicherzustellen, dass das Geld zweckentsprechend verwendet wird, und es ist unsere Sache, sicherzustellen, dass die Rente zweckentsprechend verwendet und nicht umge- hend in Suchtmittel umgesetzt wird. Ich bitte Sie, Herr Bundesrat, das Postulat entgegenzu- nehmen. Bundesrat Cotti: Wir nehmen das Postulat entgegen und wer- den Ihnen auch den verlangten Bericht erstatten. Ueberwiesen - Transmis #ST# 92.3372 Motion Huber Gesetzgebung über Gentechnologie und Fortpflanzungsmedizin Législation sur le génie génétique et sur la médecine de la procréation Wortlaut der Motion vom 21. September 1992 Der Bundesrat wird eingeladen, gestützt auf Artikel 24octies der Bundesverfassung zwei Gesetzentwürfe vorzulegen: - Gesetz über Gentechnologie; - Gesetz über Fortpflanzungsmedizin. Der Weg zur raschen Regelung der anstehenden Probleme ist nicht mehr über die Novellierung weit verstreuter Gesetze zu suchen, sondern in zwei in sich geschlossenen, kohärenten, eurokompatiblen Gesetzen zu finden. Texte de la motion du 21 septembre 1992 Le Conseil fédéral est chargé de présenter deux projets de loi fondés sur l'article 24octies de la Constitution fédérale et por- tant sur: -le génie génétique; - la médecine de la procréation. Pour faire face aux problèmes qui se posent, il ne suffit plus de modifier les lois existantes qui touchent de nombreux objets. Il faut au contraire édicter deux nouvelles lois spécifiques, cohé- rentes et eurocompatibles. Mitunterzeichner - Cosignataires: Bloetzer, Cavelty, Cottier, Danioth, Delalay, Frick, Gemperli, Küchler, Meier Josi, Piller, Roth, Schallberger, Schmid Carlo, Simmen, Ziegler Oswald (15) Huber: Ich lade zusammen mit 15 Mitunterzeichnern den Bun- desrat ein, gestützt auf Artikel 24octies BV den Verfassungsar- tikel über Gentechnologie und Fortpflanzungsmedizin so zu realisieren, dass zwei Gesetzentwürfe vorzulegen sind, ein Ge- setz über Fortpflanzungsmedizin und ein Gesetz über Gen- technologie. Ich möchte zur Begründung dieser Motion folgendes aus- führen: Was Fortpflanzungsmedizin angeht, empfiehlt die Kommis- sion Amstad, die sich intensiv mit der Materie befasst hat, aus- drücklich dieses Vorgehen unter Hinweis auf das Ausland. Was die Gentechnologie angeht, empfiehlt der verwaltungsin- terne Kobago-Bericht ausdrücklich das Gegenteil: kein Gen- technologiegesetz, sondern die Aenderung unzähliger ver- streuter Gesetze und eine koordinierende Kommission. Beim Kobago-Bericht haben elf Bundesämter und die IKS, die Inter- kantonale Kontrollstelle für Heilmittel, mitgewirkt. Die Konfliktesind in dieser Situation programmiert; Eigenbröte- lei, Rechthaberei ebenfalls. Das Mindeste ist ein zentrales Ge- setz. Mindestens die Lösung muss gesehen werden, dass ein zentraler allgemeiner Teil über Gentechnologie geschaffen wird und dass allenfalls in Erlassen tieferer Stufe, allenfalls so- garim Vollzugsrecht, danndieDetailsgeregeltwerdenmüssen. Ich habe festgestellt, dass das Max-Planck-lnstitut zur Förde- rung der Wissenschaft im April 1992 in einer Auseinanderset- zung mit der deutschen Methode, gentechnisch zu normieren, zu folgendem Schluss kommt: «Geht man den Klagen über die Rahmenbedingungen für die gentechnische Forschung in Deutschland auf den Grund, so ist das Gesetz selbst zwar durchaus in einer Reihe von Punkten verbesserungsbedürftig. Das Gesetz kann indessen nicht als alleinige oder nur als hauptsächliche Ursache für den beschriebenen Zustand an- gesehen werden.» Ich möchte auch zum Ueberlegen geben: Das sind zwei ge- trennte Gesetze, die sich aber wiederum als Säulen für die je- weilige Materie aufdrängen. Wer sind denn die Normadressa- ten? Die Normadressaten der Gesetzgebung über die Fort- pflanzungsmedizin und die Gentechnologie sind nicht in er- ster Linie Juristen, die ja noch zusammenfügen könnten, was die Verwaltung trennen will. Es sind Naturwissenschafter, Aerzte, Forscher, Praktiker. Und ihnen eine Rechtsunüber- sichtlichkeit durch die Novellierung von etwa 30 Gesetzen und Verordnungen usw. zuzumuten, führt meines Erachtens zu weit Auch deswegen braucht es je eine überschaubare Nor- mierung. Ein weiteres Argument: Ich habe es erlebt, wie es geht, wenn in einer Sache, in einem Bewilligungsverfahren über einen Tat- bestand, zwei Bundesämter, zwei Departemente zuständig sind. Dann laufen die Dinge bis zum Entscheid über Jahre, und man hat manchmal den Eindruck, dass es sich um eine reine Ermattungsstrategie gegenüber dem Gesuchsteller handelt Und schliesslich: Bei der Fortpflanzungsmedizin besteht heute ein grosser Handlungsbedarf, die Kantone sollten nicht weitermachen oder rechtsfreie Räume, unhaltbare Situatio- nen entstehen lassen. Bei der Gentechnologie ist es ein reiner Wettlauf mit der Zeit Einfache, aber einheitliche Lösungen ha- ben sich immer noch als zeitsparender erwiesen. Ich bitte Sie daher, der Ueberweisung dieses Vorstosses zuzu- stimmen. Bundesrat Cotti: Der Bundesrat beantragt Ihnen - wie schon im Nationalrat bei einer ähnlichen Motion -, die Motion abzu- lehnen. Es geht darum, zu wissen, ob die ganze neue Thematik der Gentechnologie über ein einziges Gesetz in der Schweiz gere- gelt werden muss oder ob die Studiengruppe, auf die Herr Hu- ber Bezug genommen und die der Bundesrat vorgeschlagen hat, die einzelnen Gesetzgebungen über dieses Thema lösen muss.</w:t>
      </w:r>
    </w:p>
    <w:p>
      <w:r>
        <w:t>Schweizerisches Bundesarchiv, Digitale Amtsdruckschriften Archives fédérales suisses, Publications officielles numérisées Archivio federale svizzero, Pubblicazioni ufficiali digitali Postulat Frick Sicherstellung der IV-Renten für Suchtkranke Postulat Frick Versement des rentes AI aux personnes toxicodépendantes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