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92.3542 vom 18. Juni 1993</w:t>
      </w:r>
    </w:p>
    <w:p>
      <w:r>
        <w:t>Bundesverwaltung, 1993-06-18, DE</w:t>
      </w:r>
    </w:p>
    <w:p>
      <w:r>
        <w:rPr>
          <w:b/>
        </w:rPr>
        <w:t xml:space="preserve">Quelle: </w:t>
      </w:r>
      <w:r>
        <w:t>https://mcp.opencaselaw.ch/entscheid/ch_vb_92.3542</w:t>
      </w:r>
    </w:p>
    <w:p>
      <w:r>
        <w:t>FR: CH_VB 92.3542 du 18 juin 1993</w:t>
      </w:r>
    </w:p>
    <w:p>
      <w:r>
        <w:t>IT: CH_VB 92.3542 del 18 giugno 1993</w:t>
      </w:r>
    </w:p>
    <w:p>
      <w:pPr>
        <w:pStyle w:val="Heading2"/>
      </w:pPr>
      <w:r>
        <w:t>Erwägungen</w:t>
      </w:r>
    </w:p>
    <w:p>
      <w:r>
        <w:rPr>
          <w:b/>
        </w:rPr>
        <w:t>E. 18</w:t>
      </w:r>
    </w:p>
    <w:p>
      <w:r>
        <w:t>juin 1993 brauchs- und Strapazierrasen eingesät wird, wofür je nach Standort die bestehende Grasnarbe zumeist grossflächig ent- fernt werden muss. Die eingesäte Rasenmischung besteht aus sehr wenigen, standortfremden Grasarten, die intensiv ge- pflegt, d. h. gewässert, gedüngt, mit Pestiziden gespritzt und mehrmals gemäht werden müssen. Der Bau einer Golfanlage ist deshalb sehr aufwendig und verlangt den Einsatz zum Teil schwerer Baumaschinen. Die bestehenden Golfplätze in der Schweiz vermitteln den Ein- druck einer gefälligen, aber künstlichen Parklandschaft, die von den kulturellen und natürlichen landschaftlichen Gege- benheiten sowie den lokalen Besonderheiten weitgehend los- gelöst ist Dies ist dann besonders schwerwiegend, wenn eine Landschaft, in die ein Golfplatz neu geplant ist, überausserge- wöhnliche Natur- und Kulturwerte verfügt Einige der zurzeit mehr als 40 in der Schweiz bekannt gewordenen Golfprojekte (wovon alleine 18 im Kanton Wallis!) berühren die Interessen des Landschafts- und Naturschutzes auf zum Teil erhebliche Weise, wie folgende Beispiele zeigen : 1. Die Erweiterung des Golfplatzes in Saanenmöser BE sowie der geplante Golfplatz bei Einsiedeln gehen auf Kosten eines Flachmoors von vermutlich nationaler Bedeutung. 2. Der Golfplatz von GrimisuatVS käme in eine alte Kulturland- schaft zu liegen, die über eine ausserordentliche Artenvielfalt verfügt 3. Der geplante Golfplatz in Maloja und das Golfübungsfeld in Siisi. E. liegen mitten in einer Landschaft europäischer Bedeu- tung (Oberengadiner Seenlandschaft). 4. Extensiv bewirtschaftete Kulturlandschaften sind durch ge- plante Golfplätze in Celerina/Pontresina, in Flims, in Bonaduz GR und auf der Alpe d'Agra bei CademarioTI betroffen. 5. Im einzigartigen Vogelparadies am Altlauf der Rhone bei Leuk soll ein Golfplatz errichtet werden. 6. Am Hochwang ist ein Golfplatz in einer Moorlandschaft von vermuteter nationaler Bedeutung im regionalen Richtplan vor- gemerkt worden. Diese Konflikte können künftig nur dann einigermassen ver- mieden werden, wenn die einzelnen Projekte auf ihre Umwelt- und Raumverträglichkeit eingehend geprüft werden können. Aus diesem Grunde drängt sich hier das bewährte Instrumen- tarium der Umweltverträglichkeitsprüfung (UVP) auf. Eine UVP-Pflicht für Golfplätze (9- und 18-Loch) ist auch deshalb nötig, weil unter den UVP-pflichtigen Anlagen, die im Anhang zur Verordnung über die Umweltverträglichkeitsprüfung (UVPV) aufgeführt sind, flächenmässig auch viel weniger be- deutende Vorhaben zu finden sind. Dass die Golfplätze in der UVPV nicht aufgeführt wurden, liegt wohl in derTatsache, dass vor mehr als vier Jahren noch kaum zu erahnen war, dass ein derartiger Projektierungsboom für Golfplätze in Gang kom- men würde. Schriftliche Stellungnahme des Bundesrates vom 7. April 1993 Rapport écrit du Conseil fédéral du 7 avril 1993 Nach Artikel 9 Absatz 1 des Bundesgesetzes über den Um- weltschutz (USG) bezeichnet der Bundesrat die Anlagen, die einer Umweltverträglichkeitsprüfung (UVP) zu unterziehen sind. Der Anhang der Verordnung über die Umweltverträglich- keitsprüfung (UVPV), die am 1. Januar 1989 in Kraft getreten ist, enthält eine abschliessende Liste der UVP-pflichtigen Anla- gen. Golfplätze sind darin nicht aufgeführt und damit nicht UVP-pflichtig. a Vier Jahre, nachdem die UVPV in Kraft getreten ist, soll das Instrument der UVP überprüft werden. Das Bundesamt für Um- welt, Wald und Landschaft ist beauftragt, eine Revision der UVPV vorzubereiten. Bei dieser Gelegenheit wird auch die Zweckmässigkeit, Golfplätze in die Liste der UVP-pflichtigen Anlagen (UVP auf kantonaler Ebene) aufzunehmen, geprüft Eines der Ziele der Revision ist allerdings, die Verfahren der UVP zu beschleunigen und den Anhang so zu ändern, dass gewisse Kompetenzen den Kantonen zurückgegeben werden. b. Die Anlagen, die einer UVP zu unterziehen sind, werden vom Bundesrat abschliessend bezeichnet Die Kantone ha- ben somit keine Möglichkeit, Golfplätze ihrerseits als UVP- pflichtig zu erklären. Es gilt aber darauf hinzuweisen, dass die materiellen Vorschriften über den Schutz der Umwelt auch bei Anlagen anzuwenden sind, die nicht der UVP-Pflicht unterste- hen (Art 4 UVPV). c. Die Frage der Raumverträglichkeit von Golfplätzen ist im Rahmen der Rieht- und Nutzungsplanung zu klären. Die Arti- kel 2 und 3 der Verordnung über die Raumplanung (RPV) füh- ren aus, wie Vorhaben zu prüfen sind und wie die Interessen- abwägung vorzunehmen ist Die Planung ist Sache der Kan- tone. Es versteht sich von selbst, dass der Bundesrat bei der Genehmigung der kantonalen Richtpläne dem Aspekt der räumlichen Einordnung und Abstimmung von Golfplätzen Rechnung trägt Schriftliche Erklärung des Bundesrates Déclaration écrite du Conseil fédéral Der Bundesrat ist bereit, Punkt a der Motion als Postulat entge- genzunehmen, und beantragt, die Motion in den Punkten b und c abzulehnen. Punkt a-Point a Ueberwiesen als Postulat - Transmis comme postulat Punkte b, c-Points b, c Abgelehnt-Rejeté #ST# 93.3110 Motion Gonseth Umweltverträglichkeitsprüfung für Gentech-Anlagen Etudes d'impact sur l'environnement pour les installations de technologie génétique Wortlaut der Motion vom 16. März 1993 Der Bundesrat wird ersucht, gestützt auf Artikel 9 Absatz 1 Umweltschutzgesetz in Verbindung mit Artikel 1 Verordnung über die Umweltverträglichkeitsprüfung, Anlagen, in denen mit gentechnisch veränderten Organismen gearbeitet wird, der Umweltverträglichkeitsprüfungs-Pflichtzu unterstellen. Texfe de la motion du 16 mars 1993 Le Conseil fédéral est chargé, en vertu de l'article 9 alinéa pre- mier LPE, ainsi que de l'article premier OEIE, de soumettre obligatoirement à l'EIE les installations utilisant des organis- mes génétiquement modifiés. Mitunterzeichner - Cosignataires: Bär, Baumann, Bäumlin, Bühlmann, Bundi, Danuser, Diener, Gardiol, Hafner Rudolf, Hämmerle, Hollenstein, Jori, Maeder, Meier Hans, Meier Sa- muel, Meyer Theo, Rebeaud, Seiler Rolf, Strahm Rudolf, Thür (20) Schriftliche Begründung - Développement par écrit Die heutige Situation vermag nicht zu befriedigen. Anlagen für chemische Prozesse unterstehen der Pflicht zur UVP (z. B. 70.5 und 70.6, Anhang zur UVPV), nicht aber Anlagen für bio- technische Prozesse. Für ungleiche Behandlung solcher An- lagen sind keine objektiven Gründe ersichtlich. Es ist deshalb angezeigt, diesen systematischen Fehler zu korrigieren. Dass der Umgang mit gentechnisch veränderten Organismen Auswirkungen auf die Umwelt und mittelbar auf den Men- schen hat, ist heute allgemein anerkannt, wenn auch das Aus- mass der Gefährdung umstritten ist Die Unterstellung unter die Störfallverordnung von Betrieben, in denen gentechnisch veränderte Mikroorganismen verwendet werden, kann keines-</w:t>
      </w:r>
    </w:p>
    <w:p>
      <w:r>
        <w:t>Schweizerisches Bundesarchiv, Digitale Amtsdruckschriften Archives fédérales suisses, Publications officielles numérisées Archivio federale svizzero, Pubblicazioni ufficiali digitali Motion Bundi Umweltverträglichkeitsprüfung für Golfanlagen Motion Bundi Terrains de golf et étude d'impact sur l'environnement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92.3542 Numéro d'objet Numero dell'oggetto Datum 18.06.1993 - 08:00 Date Data Seite 1379-1380 Page Pagina Ref. No</w:t>
      </w:r>
    </w:p>
    <w:p>
      <w:r>
        <w:rPr>
          <w:b/>
        </w:rPr>
        <w:t>E. 20</w:t>
      </w:r>
    </w:p>
    <w:p>
      <w:r>
        <w:t>022 872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