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92.3501 vom 16. Dezember 1992</w:t>
      </w:r>
    </w:p>
    <w:p>
      <w:r>
        <w:t>Bundesverwaltung, 1992-12-16, DE</w:t>
      </w:r>
    </w:p>
    <w:p>
      <w:r>
        <w:rPr>
          <w:b/>
        </w:rPr>
        <w:t xml:space="preserve">Quelle: </w:t>
      </w:r>
      <w:r>
        <w:t>https://mcp.opencaselaw.ch/entscheid/ch_vb_92.3501</w:t>
      </w:r>
    </w:p>
    <w:p>
      <w:r>
        <w:t>FR: CH_VB 92.3501 du 16 décembre 1992</w:t>
      </w:r>
    </w:p>
    <w:p>
      <w:r>
        <w:t>IT: CH_VB 92.3501 del 16 dicembre 1992</w:t>
      </w:r>
    </w:p>
    <w:p>
      <w:pPr>
        <w:pStyle w:val="Heading2"/>
      </w:pPr>
      <w:r>
        <w:t>Erwägungen</w:t>
      </w:r>
    </w:p>
    <w:p>
      <w:r>
        <w:rPr>
          <w:b/>
        </w:rPr>
        <w:t>E. 19</w:t>
      </w:r>
    </w:p>
    <w:p>
      <w:r>
        <w:t>März 1993 N 563 Motion Epiney pétences en direction de la Confédération. La Constitution fé- dérale est devenue un fourré-tout. L'Etat central par une légis- lation uniforme, mal acceptée par le citoyen dont spéciale- ment les minorités, porte gravement atteinte au droit à la diffé- rence, élément essentiel du pacte de 1291. De nouveaux garde-fous constitutionnels doivent dès lors être aménagés afin de mieux garantir les droits et spécificités de chaque canton. Le Conseil fédéral est invité à explorer toutes les pistes afin d'apaiser l'inquiétude en particulier de la Ro- mandie quia constaté avec regret, que sa voix s'éteint sur l'au- tel de la majorité (exemples: arrêté sur la viticulture, droit fon- cier ru rai, etc.). L'exécutif doit en particulier étudier les possibilités d'exiger des majorités qualifiées, d'octroyer sous certaines conditions un éventuel droit de veto. En résumé, le Conseil fédéral doit proposer toutes mesures susceptibles de mieux protéger les minorités, consolider le droit à la différence et affermir la cohé- sion nationale. Enfin, dans l'attente d'une nouvelle approche européenne, le Conseil fédéral est invité à soutenir par tous moyens qu'il ju- gera utiles les cantons qui recherchent à promouvoir une «Eu- rope des régions» respectueuse du droit à la différence. Schriftliche Stellungnahme des Bundesrates vom 17. Februar 1993 Rapport écrit du Conseil fédéral du 17 février 1993 1. Le Conseil fédéral est conscient que la non-participation de la Suisse à l'Espace économique européen comporte des désavantages pour les cantons, notamment dans les régions frontalières, en considération aussi de l'importance que la coopération régionale transfrontalière revêt pour un petit Etat Par contre, le Conseil fédéral ne partage pas l'avis de l'auteur de la motion selon lequel une modificaiton de l'article 9 de la Constitution fédérale s'imposerait. Il y a lieu de relever que la Confédération dispose, en matière de relations avec l'étranger, d'une compétence générale (art. 8, 85 et 102 est). Elle n'est donc, en ce qui concerne la conclusion de traités internationaux, pas liée à la répartition des compétences entre la Confédération et les cantons. La compétence des cantons de conclure des traités n'est que subsidiaire et limitée (art. 9). Néanmoins, la pratique très libé- rale des autorités fédérales leur permet de conclure des traités avec l'étranger non seulement sur des objets concernant l'économie publique, les rapports de voisinage et la police, mais en principe, grâce à une interprétation extensive de l'article 9, également dans tous les domaines qui relèvent de leur compétence d'après l'ordre constitutionnel. Ces traités ne doivent toutefois rien contenir de contraire à la Confédération ou aux droits d'autres cantons (art. 9 phrase 2). Le Conseil fédéral est de l'avis que l'octroi aux cantons de compétences plus étendues en matière de relations avec l'étranger, à la suite d'une modification de l'article 9 de la cons- titution, pourrait remettre en question la conduite d'une politi- que étrangère cohérente de la part de la Suisse. Une telle mo- dification de la constitution pourrait d'ailleurs désavantager les cantons nonfrontaliers, qui n'ont pas les mêmes possi- bilités de coopérer avec les régions situées au-delà de la frontière. Les cantons sont donc libres de mettre à l'avenir encore mieux à profit la marge de manoeuvre qui leur est laissée dans ce ca- dre. Dans ce contexte, il faut relever qu'en 1981 la Suisse a si- gné la Convention-cadre européenne du 21 mai 1980 sur la coopération transfrontalière des collectivités ou autorités terri- toriales, entrée en vigueur pour notre pays en 1982. Cette convention, à laquelle ont adhéré tous les pays limitrophes de la Suisse, renforce la position des collectivités territoriales au niveau international. La Suisse n'a par contre pas encore si- gné, eu égard à l'attitude négative de onze cantons, la Charte européenne de l'autonomie locale du 15 octobre 1985. Le Conseil fédéral était disposé à accepter le postulat du 12 mai 1992 de la Commission des affaires étrangères du Conseil na- tional qui demandait de procéder à une nouvelle consultation des cantons. Le postulat a cependant été rejeté par le Conseil national le 27 août 1992. En assurant aussi à l'avenir une interprétation extensive de l'article 9 de la constitution, le Conseil fédéral est prêt à per- mettre aux cantons de gérer d'une façon aussi autonome que possible les relations avec leurs voisins. 2. Le Conseil fédéral est conscient de l'ensemble des problè- mes posés par le «oui» à l'EEE des cantons francophones (mais aussi des régions urbaines) face à la majorité contraire du peuple et des cantons. Les requêtes et les propositions de solution de l'auteur de la motion afin de mieux garantir les droits des minorités (introduction de majorités qualifiées, droit de veto) demandent un examen approfondi. Il faut cependant souligner d'emblée que l'articulation des principes de majorité du peuple et des cantons inscrits dans la Constitution fédérale avec l'introduction éventuelle d'exigences constitutionnelles nouvelles, telles qu'une majorité qualifiée de cantons ou un droit de veto d'une minorité de cantons, pourrait s'avérer très délicate. La protection des droits des minorités ne doit notam- ment pas l'emporter sur la règle majoritaire au risque d'affaiblir les liens unissant les différentes composantes du pays. Bien au contraire, la garantie des différences légitimes des cantons doit également contribuer au renforcement de l'unité du pays. Car ce n'est que dans cette mesure qu'il sera possible de sur- monter les divergences apparues au soir du 6 décembre der- nier. Le Conseil fédéral est déterminé à favoriser la cohésion du pays, notamment par le dialogue et l'écoute attentive des différences cantonales qui font la richesse de notre Etat fédéral. 3. Le Conseil fédéral soutient les efforts en cours au niveau eu- ropéen, et en particulier ceux entrepris par le Conseil de l'Eu- rope, en vue d'une «Europe des régions», dont les buts corres- pondent dans une large mesure à notre conception du fédéra- lisme et au principe de la subsidiarité. Il souscrit donc à la parti- cipation active des cantons à la coopération régionale trans- frontalière (p. ex. Regio Basiliensis, Communauté de travail du Jura, Conseil du Léman, etc.). Comme il a été précisé, les can- tons disposent d'une marge de manoeuvre qui n'a pas encore été épuisée. Le développement futur de l'idée d'une «Europe des régions» dépend en grande partie de l'initiative des entités concernées au niveau régional de part et d'autre des fron- tières. Au vu de ce qui précède, le Conseil fédéral propose, en se ré- férant à ses réponses aux motions Mühlemann du 18 juin 1991 (91.3187) et Spielmann du 7 décembre 1992 (92.3489) ainsi qu'au rapport sur les perspectives de la coopération transfron- talière qui sera établi suite au postulat Onken du 16 décembre 1992 (92.3525), de transformer les trois points de la motion en un postulat Schriftliche Erklärung des Bundesrates Déclaration écrite du Conseil fédéral Le Conseil fédéral propose de transformer la motion en pos- tulat. Präsident: Der Vorstoss wird von Herrn Steffen bekämpft Die Diskussion wird verschoben. Verschoben - Renvoyé</w:t>
      </w:r>
    </w:p>
    <w:p>
      <w:r>
        <w:t>Schweizerisches Bundesarchiv, Digitale Amtsdruckschriften Archives fédérales suisses, Publications officielles numérisées Archivio federale svizzero, Pubblicazioni ufficiali digitali Motion Epiney Recht der Minderheiten auf das Anderssein Motion Epiney Droit à la différence des minorités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92.3501 Numéro d'objet Numero dell'oggetto Datum 19.03.1993 - 08:00 Date Data Seite 562-563 Page Pagina Ref. No</w:t>
      </w:r>
    </w:p>
    <w:p>
      <w:r>
        <w:rPr>
          <w:b/>
        </w:rPr>
        <w:t>E. 20</w:t>
      </w:r>
    </w:p>
    <w:p>
      <w:r>
        <w:t>022 420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