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92.3490 vom 18. Juni 1993</w:t>
      </w:r>
    </w:p>
    <w:p>
      <w:r>
        <w:t>Bundesverwaltung, 1993-06-18, DE</w:t>
      </w:r>
    </w:p>
    <w:p>
      <w:r>
        <w:rPr>
          <w:b/>
        </w:rPr>
        <w:t xml:space="preserve">Quelle: </w:t>
      </w:r>
      <w:r>
        <w:t>https://mcp.opencaselaw.ch/entscheid/ch_vb_92.3490</w:t>
      </w:r>
    </w:p>
    <w:p>
      <w:r>
        <w:t>FR: CH_VB 92.3490 du 18 juin 1993</w:t>
      </w:r>
    </w:p>
    <w:p>
      <w:r>
        <w:t>IT: CH_VB 92.3490 del 18 giugno 1993</w:t>
      </w:r>
    </w:p>
    <w:p>
      <w:pPr>
        <w:pStyle w:val="Heading2"/>
      </w:pPr>
      <w:r>
        <w:t>Erwägungen</w:t>
      </w:r>
    </w:p>
    <w:p>
      <w:r>
        <w:rPr>
          <w:b/>
        </w:rPr>
        <w:t>E. 18</w:t>
      </w:r>
    </w:p>
    <w:p>
      <w:r>
        <w:t>juin 1993 Antibiotika dürfen an Tiere auf tierärztliche Verordnung hin oder - soweit es sich um bestimmte antimikrobielle Wachs- tumsförderer handelt - nach den Zulassungsbedingungen der Eidgenössischen Forschungsanstalt für viehwirtschaftli- che Produktion verabreicht werden. Die Zulassung der veteri- närmedizinischen Präparate und die Kontrolle der Vermark- tung sind nach den Bestimmungen der Interkantonalen Ver- einbarung vom 3. Juni 1971 über die Kontrolle der Heilmittel (SR 812.101; Heilmittelkonkordat) geregelt, für die Wachs- tumsförderer gilt die Verordnung vom 4. Februar 1955 über landwirtschaftliche Hilfsstoffe (SR 916.051; Hilfsstoffverord- nung). Die unkontrollierte Behandlung von Tieren mit Antibiotika kann nachteilige Auswirkungen auf deren Gesundheit haben und zu Rückständen in den Lebensmitteln tierischer Herkunft führen. Das neue Lebensmittelgesetz vom 9. Oktober 1992 (BB11992 V1117) trägt den wissenschaftlichen Erkenntnissen und den Erfahrungen über die Missbräuche bei der Anwen- dung von Tierarzneimitteln Rechnung. Sein Geltungsbereich erfasst die landwirtschaftliche Produktion von Nutztieren, so- weit diese der Herstellung von Lebensmitteln dienen und er- möglicht die Kontrolle von Nutztierbeständen, wenn aufgrund von Rückstandsuntersuchungen ein Verdacht auf unzulässige Anwendungen aufkommt Zudem ermöglicht das Gesetz die Kontrolle der Einfuhr von Tierarzneimitteln durch die Bundes- behörden. Die Vermarktung im Inland bleibt weiterhin in der Verantwortung der kantonalen Heilmittelkontrollen. Die Ein- haltung der Hilfsstoff- und der Stoffverordnung wird von den Bundesbehörden kontrolliert Aufgrund dieser Ausführungen lassen sich die einzelnen Fra- gen wie folgt beantworten: 1. Es trifft zu, dass Einfuhr und Vermarktung von Tierarzneimit- teln besser überwacht werden sollen. Wie oben dargelegt, wird das neue Lebensmittelgesetz eine verbesserte Einfuhr- kontrolle ermöglichen, während die Kantone für die Vermark- tung zuständig bleiben. Es wird geprüft, ob ein eidgenössi- sches Heilmittelgesetz in diesem Bereich eine Verbesserung bewirken könnte. 2. Die Zulassung der antimikrobiellen Wachstumsförderer stützt sich jeweilen auf eine Empfehlung der Fachkommission für Tierarzneimittel bei der Interkantonalen Kontrollstelle für Heilmittel und berücksichtigt die Sicherheit für das Tier, den Anwender, den Konsumenten von Lebensmitteln tierischer Herkunft und die Umwelt Die schweizerische Zulassungspra- xis entspricht weitgehend den EG-Normen. Ein generelles Verbot antimikrobieller Wachtumsförderer müsste sich auf den wissenschaftlichen Nachweis stützen, dass einerseits der Konsum von Fleisch und anderen tieri- schen Lebensmitteln, die unter Verwendung dieses Hilfsmit- tels produziert werden, eine Gefährdung für die menschliche Gesundheit darstellt und andererseits gegen die Grundsätze des Umweltschutz- und Gewässerschutzgesetzes verstossen würde. Die bisherigen Untersuchungen haben indessen die Unbedenklichkeit der Verwendung dieser Stoffe aufgezeigt Ein Verbot der antimikrobiellen Wachstumsförderer wäre des- halb unverhältnismässig und sachlich nicht begründet 3. Gegen Verstösse bei der Einfuhr und bei der Feststellung unzulässiger Rückstände werden die Strafnormen des neuen Lebensmittelgesetzes Anwendung finden. Sofern die Gesund- heit des Menschen gefährdet ist, sind Gefängnisstrafen bis zu fünf Jahren vorgesehen. Das neue Lebensmittelgesetz ist noch nicht in Kraft; die Wirkung der erwähnten Strafnorm lässt sich noch nicht abschätzen. Unter diesen Umständen drängt sich eine Verschärfung der von den eidgenössischen Räten erst im vergangenen Jahr beschlossenen gesetzlichen Rege- lung nicht auf. Die Strafen bei Zuwiderhandlungen gegen die kantonale Heil- mittelgesetzgebung sind im kantonalen Strafrecht, gegen die Hilfsstoffverordnung im Landwirtschaftsgesetz und jene ge- gen die Stoffverordnung im Umweltschutzgesetz geregelt Erklärung des Interpellanten: teilweise befriedigt Déclaration de l'interpellateur: partiellement satisfait #ST# 92.3387 Interpellation Steinemann Privilegien beim Bund Privilèges dans l'administration fédérale Wortlaut der Interpellation vom 23. September 1992 In der Oeffentlichkeit kursieren verschiedene Gerüchte über Vergünstigungen und Privilegien von Beamten des Bundes und seiner Regiebetriebe. Beispielsweise: - Hypothekardarlehen zu besonders günstigen Bedingungen für den Erwerb eines Einfamilienhauses oder einer Eigentums- wohnung; - Vergütung von Sprachunterricht; - Autofahrunterricht auf Kosten der Verwaltung; - Benützung von Dienstautos zu privaten Zwecken; -Benützung von Verkehrsmitteln (Bahn, Bus, Schiff, Flug- zeug usw.) zur halben Taxe oder gratis; -Telefonanschlüsse zu Hause, wofür die Abonnementsge- bühr von der Verwaltung übernommen wird; - Erlass der Telefon-Abonnementstaxen für alle Beamten und ständigen Angestellten der PTT; - Privatfahrzeuge für Spitzenbeamte und Magistratspersonen (nebst privater Benützung von Dienstwagen mit Chauffeur); - Kostenloses Fliegen für Beamte und Magistraten sowie de- ren Angehörigen auch zu privaten Zwecken auf dem ganzen Netz der Swissair, private Benutzung bundeseigener Flug- zeuge usw. Transparenz existiert nicht Ist der Bundesrat bereit, das Par- lament und die Oeffentlichkeit darüber vollständig zu in- formieren? Texte cte l'interpellation du 23 septembre 1992 Des bruits courent dans le public selon lesquels les fonction- naires de la Confédération et de ses régies bénéficieraient de divers privilèges, notamment: - prêts hypothécaires à des conditions particulièrement avan- tageuses en cas d'acquisition d'une maison ou d'un apparte- ment; - remboursement des frais pour des cours de langue; - cours de conduite aux frais de l'administration; - utilisation d'automobiles de service à des fins privées; - utilisation à demi-tarif ou à titre gratuit de moyens de trans- ports (chemin de fer, bus, bateau, avion etc.); -taxes d'abonnement payées par l'administration pour des raccordements téléphoniques à domicile; -exonération des taxes d'abonnement au téléphone pour tous les fonctionnaires et employés permanents des PTT; -véhicules privés pour les hauts fonctionnaires et les magi- strats (en outre, utilisation à titre privé des voitures de service avec chauffeur); - vols gratuits pour certains fonctionnaires et magistrats ainsi que leurfamille surtout le réseau Swissair, même à des fins pri- vées, utilisation à titre privé d'avions de la Confédération etc. Il n'y a aucune transparence dans ce domaine. Le Conseil fé- déral est-il disposé à informer de manière complète le Parle- ment et le public à ce propos? Mitunterzeichner-Cosignataires: Bischof, Borer Roland, Bor- radori, Dreher, Giezendanner, Jenni Peter, Keller Rudolf, Kern, Maspoli, Miesch, Moser, Neuenschwander, Reimann Maximi- lian, Ruf, ScherrerJürg, ScherrerWerner, Stalder, Verterli (18) Schrittliche Begründung - Développement par écrit Der Urheber verzichtet auf eine Begründung und wünscht eine schriftliche Antwort Schriftliche Stellungnahme des Bundesrates vom 21. April 1993 Rapport écrit du Conseil fédéral du 21 avril 1993</w:t>
      </w:r>
    </w:p>
    <w:p>
      <w:r>
        <w:t>Schweizerisches Bundesarchiv, Digitale Amtsdruckschriften Archives fédérales suisses, Publications officielles numérisées Archivio federale svizzero, Pubblicazioni ufficiali digitali Interpellation Bischof Doping im Stall Interpellation Bischof Dopage des animaux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 16 Séance Seduta Geschäftsnummer 92.3490 Numéro d'objet Numero dell'oggetto Datum 18.06.1993 - 08:00 Date Data Seite 1413-1414 Page Pagina Ref. No</w:t>
      </w:r>
    </w:p>
    <w:p>
      <w:r>
        <w:rPr>
          <w:b/>
        </w:rPr>
        <w:t>E. 20</w:t>
      </w:r>
    </w:p>
    <w:p>
      <w:r>
        <w:t>022 914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