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92.3422 vom 19. März 1993</w:t>
      </w:r>
    </w:p>
    <w:p>
      <w:r>
        <w:t>Bundesverwaltung, 1993-03-19, DE</w:t>
      </w:r>
    </w:p>
    <w:p>
      <w:r>
        <w:rPr>
          <w:b/>
        </w:rPr>
        <w:t xml:space="preserve">Quelle: </w:t>
      </w:r>
      <w:r>
        <w:t>https://mcp.opencaselaw.ch/entscheid/ch_vb_92.3422</w:t>
      </w:r>
    </w:p>
    <w:p>
      <w:r>
        <w:t>FR: CH_VB 92.3422 du 19 mars 1993</w:t>
      </w:r>
    </w:p>
    <w:p>
      <w:r>
        <w:t>IT: CH_VB 92.3422 del 19 marzo 1993</w:t>
      </w:r>
    </w:p>
    <w:p>
      <w:pPr>
        <w:pStyle w:val="Heading2"/>
      </w:pPr>
      <w:r>
        <w:t>Erwägungen</w:t>
      </w:r>
    </w:p>
    <w:p>
      <w:r>
        <w:rPr>
          <w:b/>
        </w:rPr>
        <w:t>E. 19</w:t>
      </w:r>
    </w:p>
    <w:p>
      <w:r>
        <w:t>März 1993 N 599 Interpellation Aregger 3. Die Klitorisbeschneidung erfüllt im schweizerischen Straf- recht den Tatbestand der schweren Körperverletzung - ein Tatbestand, der eines der höchsten Rechtsgüter unserer Rechtsordnung, die körperliche Unversehrtheit, schützt (Art. 122 StGB). Wer also sogenannt rituelle, sexuell verstüm- melnde Eingriffe an Personen, namentlich an Kindern und Ju- gendlichen weiblichen Geschlechts, vornimmt, macht sich strafbar. Die schwere Körperverletzung wird von Amtes wegen verfolgt Die rechtliche Lage ist somit eindeutig. Ueberdies dürfen Aerzte und ihre Hilfspersonen, wenn sie von einer an einer Unmündigen in der Schweiz vorgenommenen Beschneidung erfahren, ungeachtet des Berufsgeheimnisses, dem sie unter- liegen, dies der vormundschaftlichen Behörde melden (Art. 358ter StGB). Die Zentrale Medizinisch-Ethische Kommission der Schweize- rischen Akademie der medizinischen Wissenschaften hat sich bereits 1983 aufgrund einer Anfrage der Verbindung der Schweizer Aerzte (FMH) mit diesem Brauch befasstund ist da- bei zur selben klaren Schlussfolgerung gelangt (vgl. Schwei- zerische Aerztezeitung, Band 64,1983, Heft 34). 4. Die Klitorisbeschneidung ist ein in verschiedenen Teilen Afrikas verbreiteter Brauch, der traditionell und kulturell tief verwurzelt ist. Solche rituelle Gebräuche lassen sich mit dem Mittel des Strafrechts dort kaum wirksam bekämpfen. Der Weg dazu führt, wie durch die Weltgesundheitsorganisation (WHO) wiederholt festgestellt, in erster Linie über die Aufklärung so- wie die Verbesserung der Lebensbedingungen, des Bildungs- standes und der sozialen Stellung der Frauen. In diesem Sinne leistet der Bund über die Entwicklungszusam- menarbeit allgemeine Unterstützung und ist grundsätzlich auch bereit, Beiträge an lokal getragene Aufklärungsprojekte zu leisten. Der Bundesrat ist zudem bereit, Möglichkeiten für eine zielgruppenorientierte Information innerhalb der Schweiz zu prüfen. 5. In der Schweiz wie auch im europäischen Raum wird eine Klitorisbeschneidung als unmenschliche Behandlung im Sinne von Artikel 3 der Europäischen Menschenrechtskon- vention (EMRK) angesehen. Legt eine von einer Wegweisung bedrohte Ausländerin dar, dass sie nach ihrer Wegweisung ei- nem tatsächlichen Risiko dieser unmenschlichen Behandlung unterworfen würde, wäre daher vom Vollzug der bestehenden rechtskräftigen Wegweisung abzusehen und statt dessen die vorläufige Aufnahme zu verfügen. Erklärung der Interpellantin: teilweise befriedigt Déclaration de l'interpellatrice: partiellement satisfaite #ST# 92.3357 Interpellation Aregger Tempolimiten auf den Nationalstrassen in Luzern Routes nationales. Limitations de vitesse dans le canton de Lucerne Wortlaut der Interpellation vom 3. September 1992 1. Weshalb hat das EJPD seine eigenen Weisungen an die Kantone missachtet und ohne brauchbares Gutachten, das die Auswirkungen auf die Verkehrssicherheit aufzeigt, die Be- willigung zur dauernden Tempoabsenkung erteilt? 2. Was sind die Gründe der differenzierten Maximalgeschwin- digkeit zwischen Lastwagen (60 km/h) und übrigen Fahrzeu- gen (80 km/h)? 3. Ist sich der Bundesrat bewusst, dass die differenzierte Ge- schwindigkeit zu grotesken Situationen führt (z. B. können Au- tofahrer von der linken Spur eine Ausfahrt nicht erreichen, weil auf der rechten Spur eine geschlossene Kolonne Lastwagen fährt; sie können deshalb die Autobahn erst über die nächste Ausfahrt verlassen)? 4. Hat der Bundesrat die Ausdehnung des räumlichen Gel- tungsbereichs der Geschwindigkeitsreduktion geprüft? 5. Hat der Bundesrat Kenntnis vom Gutachten des TüV Rhein- land Köln (mit dem das Buwal zusammenarbeitet), wonach die zentralen Aussagen im Elektrowatt-Bericht zum befristeten Ozontempoversuch von 1991 fachlich nicht fundiert sind? 6. Weshalb werden Signalisationen geduldet, die nicht im SVG definiert sind? 7. In den Gesuchsunterlagen fehlen konkrete Prognosen über den Nutzen betreffend NCWNOa-Emissionen. Braucht es nicht eine Erfolgskontrolle, damit die dauernde Temporeduktion auf 80/60 km/h glaubwürdig bleibt? 8. Ist der Bundesrat gewillt, die überzwanzig Beschwerden zü- gig zu bearbeiten und zu entscheiden, nachdem der Zustand der Umweltsituation in Luzern weder neu noch alarmierend ist? Texte de l'interpellation du 3 septembre 1992 1. Pourquoi le DFJP ne respecte-t-il pas les directives qu'il a données lui-même aux cantons et autorise-t-il un abaissement durable des limitations de vitesse, sans même exiger une ex- pertise valable qui démontre les effets réels d'un tel abaisse- ment sur la sécurité routière? 2. Comment justifie-t-il la différence entre la vitesse maximale valable pour les camions (60 km/h) et celle applicable aux au- tres véhicules (80 km/h)? 3. Le Conseil fédéral est-il conscient du fait que cette diffé- rence conduit à des situations grotesques comme celle, par exemple, où la voie de droite est bouchée par des camions, de sorte que les conducteurs qui se trouvent sur la voie de gau- che ne peuvent quitter l'autoroute là où ils le désirent et doi- vent attendre la prochaine sortie? 4. Le Conseil fédéral a-t-il examiné la possibilité d'étendre à d'autres régions l'abaissement des limitations de vitesse? 5. Le Conseil fédéral a-t-il connaissance de l'expertise réalisée par le «TüV Rheinland» de Cologne (service de contrôle techni- que des automobiles, qui collabore avec l'Ofefp), selon la- quelle les affirmations contenues dans le rapport d'Elektrowatt sur l'abaissement temporaire des limitations de vitesse tenté en 1991 pour réduire les taux d'ozone dans l'air sont scientifi- quement infondées? 6. Pourquoi autorise-t-on la mise en place de signalisations qui ne sont pas définies dans la LCR? 7. Les documents fournis par le canton de Lucerne avec sa de- mande d'autorisation ne contiennent même pas d'analyse précise prouvant l'utilité des mesures pour une diminution des émissions d'oxyde d'azote et des taux d'ozone dans l'air. Une telle analyse ne s'impose-t-elle pas, si l'on veut que le maintien des limitations de vitesse à 80 et 60 km/h soit crédible? 8. Le Conseil fédéral est-il prêt à traiter rapidement les vingt et quelques recours qui ont été déposés, sachant que la situa- tion en matière de pollution dans le canton de Lucerne n'est ni nouvelle ni alarmante? Mitunterzeichner - Cosignataires: Dettling, Iten Joseph, Stucky (3) Schriftliche Begründung - Développement par écrit Der Urheber verzichtet auf eine Begründung und wünscht eine schriftliche Antwort. Schriftliche Stellungnahme des Bundesrates vom 20. Januar 1993 Rapport écrit du Conseil fédéral du 20 janvier 1993 1. Gegen die mit Bewilligung des EJPD vom Regierungsrat des Kantons Luzern auf bestimmten Strecken der N 2 und N 14 verfügten Geschwindigkeitsbeschränkungen haben ins- gesamt 42 Personen mit 25 Eingaben beim Bundesrat Verwal- tungsbeschwerde geführt. Das für die Beschwerdeinstruktion zuständige EFD hat mit Zwischenverfügung vom 1. Septem- ber 1992 die Begehren um Wiederherstellung der vom Regie- rungsrat entzogenen aufschiebenden Wirkung abgewiesen; der Entscheid in der Hauptsache wird damit nicht präjudiziert</w:t>
      </w:r>
    </w:p>
    <w:p>
      <w:r>
        <w:t>Schweizerisches Bundesarchiv, Digitale Amtsdruckschriften Archives fédérales suisses, Publications officielles numérisées Archivio federale svizzero, Pubblicazioni ufficiali digitali Interpellation Caspar-Hutter Frauen- und Mädchenverstümmelung Interpellation Caspar-Hutter Mutilations sexuelles pratiquées sur des femmes et des fillettes In Amtliches Bulletin der Bundesversammlung Dans Bulletin officiel de l'Assemblée fédérale In Bollettino ufficiale dell'Assemblea federale Jahr 1993 Année Anno Band I Volume Volume Session Frühjahrssession Session Session de printemps Sessione Sessione primaverile Rat Nationalrat Conseil Conseil national Consiglio Consiglio nazionale Sitzung 16 Séance Seduta Geschäftsnummer 92.3422 Numéro d'objet Numero dell'oggetto Datum 19.03.1993 - 08:00 Date Data Seite 598-599 Page Pagina Ref. No</w:t>
      </w:r>
    </w:p>
    <w:p>
      <w:r>
        <w:rPr>
          <w:b/>
        </w:rPr>
        <w:t>E. 20</w:t>
      </w:r>
    </w:p>
    <w:p>
      <w:r>
        <w:t>022 467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