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92.3371 vom 29. September 1992</w:t>
      </w:r>
    </w:p>
    <w:p>
      <w:r>
        <w:t>Bundesverwaltung, 1992-09-29, DE</w:t>
      </w:r>
    </w:p>
    <w:p>
      <w:r>
        <w:rPr>
          <w:b/>
        </w:rPr>
        <w:t xml:space="preserve">Quelle: </w:t>
      </w:r>
      <w:r>
        <w:t>https://mcp.opencaselaw.ch/entscheid/ch_vb_92.3371</w:t>
      </w:r>
    </w:p>
    <w:p>
      <w:r>
        <w:t>FR: CH_VB 92.3371 du 29 septembre 1992</w:t>
      </w:r>
    </w:p>
    <w:p>
      <w:r>
        <w:t>IT: CH_VB 92.3371 del 29 settembre 1992</w:t>
      </w:r>
    </w:p>
    <w:p>
      <w:pPr>
        <w:pStyle w:val="Heading2"/>
      </w:pPr>
      <w:r>
        <w:t>Erwägungen</w:t>
      </w:r>
    </w:p>
    <w:p>
      <w:r>
        <w:rPr>
          <w:b/>
        </w:rPr>
        <w:t>E. 29</w:t>
      </w:r>
    </w:p>
    <w:p>
      <w:r>
        <w:t>September 1992 899 Dringliche Interpellation Gemperli Après deux déclarations successives de sauvegarde en peu de temps, une abolition du monopole des cantons en matière d'assurance incendie serait inadmissible. Elle constituerait en outre une atteinte considérable à l'autonomie des cantons et toucherait des établissements qui ont travaillé depuis de nom- breuses années avec un grand succès et en maintenant un ex- cellent rapport coût-utilité. En outre le fait de lier l'assurance in- cendie et la protection contre les incendies produit un excel- lent effet de synergie. Je prie le Conseil fédéral de répondre aux questions suivan- 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