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92.3317 vom 1. Dezember 1992</w:t>
      </w:r>
    </w:p>
    <w:p>
      <w:r>
        <w:t>Bundesverwaltung, 1992-12-01, DE</w:t>
      </w:r>
    </w:p>
    <w:p>
      <w:r>
        <w:rPr>
          <w:b/>
        </w:rPr>
        <w:t xml:space="preserve">Quelle: </w:t>
      </w:r>
      <w:r>
        <w:t>https://mcp.opencaselaw.ch/entscheid/ch_vb_92.3317</w:t>
      </w:r>
    </w:p>
    <w:p>
      <w:r>
        <w:t>FR: CH_VB 92.3317 du 1 décembre 1992</w:t>
      </w:r>
    </w:p>
    <w:p>
      <w:r>
        <w:t>IT: CH_VB 92.3317 del 1 dicembre 1992</w:t>
      </w:r>
    </w:p>
    <w:p>
      <w:pPr>
        <w:pStyle w:val="Heading2"/>
      </w:pPr>
      <w:r>
        <w:t>Erwägungen</w:t>
      </w:r>
    </w:p>
    <w:p>
      <w:r>
        <w:rPr>
          <w:b/>
        </w:rPr>
        <w:t>E. 1</w:t>
      </w:r>
    </w:p>
    <w:p>
      <w:r>
        <w:t>Wie lauten die verbindlichen Rahmenbedingungen für die Bedienung der Regionen unseres Landes mit Fernverbindun- gen?</w:t>
      </w:r>
    </w:p>
    <w:p>
      <w:r>
        <w:rPr>
          <w:b/>
        </w:rPr>
        <w:t>E. 2</w:t>
      </w:r>
    </w:p>
    <w:p>
      <w:r>
        <w:t>Welchen Stellenwert soll die Bedienung regionaler Zentren mit Anschlüssen des Fernverkehrs im neuen SBB-Leistungs- auftrag einnehmen?</w:t>
      </w:r>
    </w:p>
    <w:p>
      <w:r>
        <w:rPr>
          <w:b/>
        </w:rPr>
        <w:t>E. 3</w:t>
      </w:r>
    </w:p>
    <w:p>
      <w:r>
        <w:t>Ist zur Vermeidung eines eklatanten Ungleichgewichtes zwischen immer dichter werdenden Städteverbindungen und rückläufigen regionalen Halten nicht die Stärkung zugunsten einer gleichmässigen regionalen Berücksichtigung und einer ausgewogenen Siedlungsentwicklung anzustreben?</w:t>
      </w:r>
    </w:p>
    <w:p>
      <w:r>
        <w:rPr>
          <w:b/>
        </w:rPr>
        <w:t>E. 4</w:t>
      </w:r>
    </w:p>
    <w:p>
      <w:r>
        <w:t>Que pense entreprendre le Conseil fédéral pour offrir une compensation, sur le plan des transports, aux régions particu- lièrement touchées par les nouveaux grands projets ferroviai- res («Rail 2000», NLFA)? Mitunterzeichner- Cosignataires: Ziegler Oswald (1) Danioth: Ich habe vorhin, in der Eintretensdebatte zum Voran- schlag der SBB, gesagt, dass der Kanton Uri mit der Gotthard- bahn seit deren Eröffnung verbunden und verwachsen ist Das Wissen, dass beide - Land und Leute von Uri sowie die SBB - aufeinander angewiesen sind, vor allem in schwierigen Zeiten, mindert die gegenseitige Verbundenheit nicht, obschon gele- gentlich Reibungen auftreten, was ja in allen guten Familien vorkommt Vor allem in Zeiten, in denen die Natur nicht nur un- seren Lebensraum, sondern auch die Bahn bedroht, können Sie, Herr Bundesrat, auf den restlosen Einsatz der Urner Bähn- ler zählen, damit diese internationale Bahnverbindung auf- rechterhalten werden kann. Ich glaube, das ist auch ein Wert. Erstfeld ist ja eines der fünf Dörfer, die nebst meiner Heimatge- meinde ja zur Neat gesagt haben. Uri wird - trotz seiner kriti- schen Einstellung zu den beiden offenen Fragen - loyal an der Verwirklichung dieses nationalen Vorhabens mitarbeiten. Das möchte ich vorausschicken. Ich möchte auch anerkennen, dass die SBB marktwirtschaft- lich denken und besonders heute doppelt rechnen müssen. Dabei sollte man allerdings nicht nur die Ausgabenseite be- trachten, sondern auch einen Blick auf die Einnahmenseite werfen. Ein kurzer Schnellzugshalt verursacht nur geringe Strommehrkosten für das Anhalten und Anfahren des Zuges. Er kostet sonst kein zusätzliches Geld, aber viel Goodwill. Wenn vor Inangriffnahme einer grossen neuen Aufgabe kur- zerhand die drei bisherigen Intercity-Halte in Gesehenen-für die Tourismusregion Urseren, das Tavetsch und das Goms bedeutsam - gestrichen werden, desgleichen ein Fern- schnellzug-Halt in Flüelen, dann können die SBB mit dieser «Geste» nicht auf Verständnis zählen. Der Verzicht auf Inter- city-Halte ist seit dem Fahrplan 1991/93 durchgesetzt Die In- tercity-Halte sollen gemäss neuestem Bericht auch im Fahr- planentwurf 1993/95 nicht mehr enthalten sein. Warum man sich am zuständigen Ort so zugeknöpft gibt, ist unerfindlich, und es liegt nicht im Interesse der SBB, denn auch nach und aus Uri gibt es Fahrgäste - Einheimische und Touristen -, die es schätzen, nicht in Arth-Goldau einsteigen und damit Zeit und Umtriebe in Kauf nehmen zu müssen. Wir verlangen si- cherlich nicht Halte im Stundentakt, wie Sie es vorhin zu Recht in Frage gestellt haben, sondern eine angemessene Versor- gung. Die drei Intercity-Halte würden auf einer Fahrt von meh- reren Stunden in die grossen Zentren auch betrieblich und fahrplantechnisch drinliegen. Bei gutem Willen, sage ich. Und ich danke dem Bundesrat im voraus für den mehr oder weni- ger sanften Wink an die SBB hierzu. Bundesrat Ogi: Vier klare Fragen, vier klare Antworten - so hoffeich! Zuerst einmal möchte ich dankbar zur Kenntnis nehmen, Herr Danioth, dass wir auf die Urner Bähnler zählen können. Ich nehme das sehr gerne zur Kenntnis, weil ein Mitglied des Re- gierungsrates des Kantons Uri nach erfolgreicher Abstim- mung der Neat gesagt haben soll, sie hätten kein Vertrauen mehr in Bern. Ich denke an «Berne fédérale» natürlich, nicht an «Berne ville». Deshalb ist das jetzt doch etwas Brosame. Zur Frage 1 : Intercity-Züge werden zwischen grossen Zentren eingesetzt, sofern - ich sage das noch einmal - ein genügen- des Verkehrsaufkommen besteht Zur Bedienung der mittle- ren Zentren verkehren Schnellzüge. Das ist die Philosophie; das ist die Konzeption. Die Schnellzüge nehmen auch die Zu- bringerfunktion zu den IC-Knoten wahr. Zur Frage 2: Diesen Angebotsgrundsätzen entsprechend wer- den die Zentren im Kanton Uri - Flüelen, Erstfeld, Gösche- nen - stündlich mit durchlaufenden Schnellzügen Basel/ Luzern/Zürich und Chiasso bedient In Arth-Goldau bestehen Anschlüsse mit den IC-Zügen von und nach Zürich respektive von und nach Luzern und Basel. Zur Frage 3: Die erwähnten Zentren im Kanton Uri sind ver- gleichbaren Orten in der übrigen Schweiz ebenbürtig. Zusätz- liche Halte von IC- und EC-Zügen bringen keine Mehrfre- quenz. Das ergeben Statistiken, die die SBB erstellt haben. Hingegen würden die verlängerten Reisezeiten der IC-Züge Anschlussverluste in Zürich, Luzern, Basel, Bellinzona und in Mailand auslösen. Die Wettbewerbsfähigkeit der Gotthardlinie gegenüber den übrigen Verkehrsträgern und den ausländi- schen Konkurrenzlinien würde geschmälert; das ist auch nicht in Ihrem Interesse. Zur Frage 4: Durch die Ausbauten für die «Bahn 2000» und die Neat werden neue - und da ist vielleicht die Hoffnung zu schöpfen, Herr Danioth - Kapazitäten frei, die im Schnellzugs- und Regionalverkehr eine effizientere Bedienung ermöglichen werden. Dies gilt speziell auch für die Bergstrecke im Kanton Uri. Damit wird, wenn immer möglich, ein besseres Angebot- ich bin überzeugt, dass es möglich sein wird - geschaffen. Fazit: Mit einer Abwertung des IC- und des EC-Konzeptes wer- den diese Züge zu Schnellzügen degradiert, was wiederum ein Begehren nach einer neuen Art schnellerer Städtezüge nach sich ziehen würde. Darf ich Sie, Herr Danioth, zum Schluss einmal bitten, an die Orte hinzugehen, die ich erwähnt habe, und in Flüelen, Erst- feld und Göschenen vor Ort einen ganzen Tag lang genau zu zählen, wie viele Leute dort zusteigen. Wenn Sie das zählen und die Zahlen vergleichen, werden Sie mit meiner Antwort si- cher einverstanden sein. Danioth: Vom Verständnis, das Sie meinem Anliegen und da- mit dem Anliegen des Kantons Uri entgegenbringen, bin ich überzeugt, und ich danke Ihnen dafür. Von der Antwort selber, die ja ein Nein darstellt, kann ich mich nicht befriedigt erklären. Ich bin aber bereit - sei es mit Ihnen oder mit einem von Ihnen beauftragten Mitarbeiter -, einen ganzen Tag lang diese Be- triebszählungen an den von Ihnen bezeichneten Bahnhöfen durchzuführen. #ST# 92.072 Erdöl- und Erdgasforschung. Gewährung von Finanzhilfen Prospection d'hydrocarbures. Aide financière Botschaft und Beschlussentwurf vom 24. August 1992 (BBIV1096) Message et projet d'arrêté du 24 août 1992 (FF V1044) Antrag der Kommission Eintreten Proposition de la commission Entrer en matière Schallberger, Berichterstatter: Mit Botschaft vom 24. August 1992 beantragt der Bundesrat eine Fristverlängerung für die fi- nanzielle Unterstützung der Erdöl- und Erdgasforschung in der Schweiz. Der entsprechende Bundesbeschluss, datiert vom 15. Dezember 1982 und befristet auf zehn Jahre, läuft Ende 1992 ab. Damals wurde ein Kredit von insgesamt 10 Mil- lionen Franken beschlossen. Von diesem Betrag ist bis zum Ablauf der zehnjährigen Frist rund die Hälfte beansprucht wor- den. Der Antrag des Bundesrates lautet lediglich auf Fristver-</w:t>
      </w:r>
    </w:p>
    <w:p>
      <w:r>
        <w:t>Schweizerisches Bundesarchiv, Digitale Amtsdruckschriften Archives fédérales suisses, Publications officielles numérisées Archivio federale svizzero, Pubblicazioni ufficiali digitali Interpellation Danioth Halte der IC und Fernschnellzüge im Kanton Uri Interpellation Danioth Horaire des CFF dans le canton d'Uri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02 Séance Seduta Geschäftsnummer 92.3317 Numéro d'objet Numero dell'oggetto Datum 01.12.1992 - 08:00 Date Data Seite 1107-1108 Page Pagina Ref. No 20 022 229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