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92.3279 vom 18. Dezember 1992</w:t>
      </w:r>
    </w:p>
    <w:p>
      <w:r>
        <w:t>Bundesverwaltung, 1992-12-18, DE</w:t>
      </w:r>
    </w:p>
    <w:p>
      <w:r>
        <w:rPr>
          <w:b/>
        </w:rPr>
        <w:t xml:space="preserve">Quelle: </w:t>
      </w:r>
      <w:r>
        <w:t>https://mcp.opencaselaw.ch/entscheid/ch_vb_92.3279</w:t>
      </w:r>
    </w:p>
    <w:p>
      <w:r>
        <w:t>FR: CH_VB 92.3279 du 18 décembre 1992</w:t>
      </w:r>
    </w:p>
    <w:p>
      <w:r>
        <w:t>IT: CH_VB 92.3279 del 18 dicembre 1992</w:t>
      </w:r>
    </w:p>
    <w:p>
      <w:pPr>
        <w:pStyle w:val="Heading2"/>
      </w:pPr>
      <w:r>
        <w:t>Erwägungen</w:t>
      </w:r>
    </w:p>
    <w:p>
      <w:r>
        <w:rPr>
          <w:b/>
        </w:rPr>
        <w:t>E. 18</w:t>
      </w:r>
    </w:p>
    <w:p>
      <w:r>
        <w:t>décembre 1992 serzinsen könnten zu einem Produktionsrückgang führen. Ausserdem kann nicht davon ausgegangen werden, dass die Erhöhung der Kosten der Energie, die mit Wasserkraft gewon- nen wird, beim Konsumenten automatisch zum Sparen führt. Der Konsumentenpreisindex ist für die Begründung einer Er- höhung der Wasserzinsen wenig geeignet. Ein dafür geeigne- ter Index müsste zahlreichen Faktoren Rechnung tragen (Pro- duktionskosten, Stromverkaufspreis, Preis anderer Energie- träger usw.), deren ausgewogenes Verhältnis schwer zu defi- nieren ist. Die Wasserzinsen sind nicht die einzigen Leistungen, die den Beliehenen auferlegt werden. Bei zu hohen Abgaben könnten deshalb Betriebe, die grosse Energiemengen benötigen, wel- che sie selber produzieren, einen Transfer ihrer Tätigkeiten ins Ausland in Betracht ziehen. Die Anpassung der Obergrenze für den Wasserzins könnte ra- scher über den Gesetzesweg erfolgen, wenn der Bundesrat befugt wäre, den in Artikel 49 des WRG festgelegten Betrag periodisch anzugleichen. Obwohl diese Lösung 1985 vom Parlament abgelehnt wurde, kann sie heute einer erneuten Prüfung unterzogen werden. Der Bundesrat erklärt sich bereit, die Frage einer Erhöhung des höchstzulässigen Wasserzinses zu überprüfen und bean- tragt, die Motion in ein Postulat umzuwandeln. 2. Aufhebung des eidgenössischen Wasserzinsmaximums Die im ersten Abschnitt aufgeführten Argumente gelten auch für die Aufhebung des Wasserzinsmaximums. Die Frage der Aufhebung wurde bereits 1985 anlässlich der Revision des WRG sowie durch das 1990 angenommene Postulat Aliesch aufgeworfen. Die Idee istfolglich nicht neu. Obwohl bestimmte Konsequenzen dieser Aufhebung einleuchtend erscheinen (Freiheit der Kantone, unterschiedliche Wasserzinssätze), können andere Folgen in ihren konkreten Auswirkungen schwer eingeschätzt werden. Das Fehlen eines bundesrechtli- chen Wasserzinsmaximums würde dem Willen des Verfas- sungsgebers widersprechen. 1975 hat er es als notwendig erachtet, Grenzen für die Erhebung von Wasserzinsen festzu- setzen, um die steuerlichen Interessen der Kantone mit der Förderung der Nutzung der Wasserkraft miteinander in Ein- klang zu bringen. Eine Aufhebung würde eine Abänderung des Artikels 24bis Absatz 3 der Bundesverfassung bedingen. Es ist wenig wahrscheinlich, dass die angestrebte Deregulie- rung ihr Ziel erreichen würde. Die Kantone benötigen auf- grund des Legalitätsprinzips eine gesetzliche Grundlage zur Festlegung der Höhe der Wasserzinsen, das heisst, dass sie legiferieren müssten. Eine Deregulierung auf Bundesebene würde durch Regulierungen der Kantone ersetzt Das Gesetz von Angebot und Nachfrage kommt im Bereich der Wasserkraft kaum zum Tragen, solange die verleihenden Kantone und Gemeinden dafür ein Monopol besitzen. Das Programm «Energie 2000» strebt bis ins Jahr 2000 eine Erhöhung um 5 Prozent der Energieerzeugung durch Wasser- kraft an. Der Bund setzt sich im Rahmen dieses Programms für die Entwicklung günstiger Bedingungen für die Produktions- steigerung ein. Die Aufhebung des Wasserzinsmaximums könnte die gewünschte Entwicklung gefährden. In diesem Zu- sammenhang ist darauf hinzuweisen, dass einige Kantone (beispielsweise BE, LU, SO, SG) den Wasserzinsfür Kleinkraft- werke aufgehoben oder reduziert haben. Die Aufhebung des bundesrechtlichen Höchstwertes könnte ausserdem im Hinblick auf bestehende Konzessionen zu Pro- blemen führen, insbesondere bei den Bundeskonzessionen, die mit der Zustimmung ausländischer Staaten verliehen wur- den. Die Höhe des Wasserzinses kann nicht ohne die Zustim- mung dieser Staaten verändert werden. Bei allen Konzessio- nen ist zudem auf das Prinzip von Treu und Glauben hinzuwei- sen, das eingehalten werden muss. Schliesslich würde die Aufhebung des Wasserzinsmaximums neue Fragen im Zusammenhang mit der sich zurzeit in Ausar- beitung befindenden Verordnung über die Ausrichtung von Ausgleichsbeträgen für Einbussen bei Verzicht auf Wasser- kraftnutzung aufwerfen. Trotz zahlreicher Argumente, die gegen ein Fallenlassen der bundesrechtlichen Grenzen für die Wasserzinsen sprechen, ist sich der Bundesrat jedoch der finanziellen Schwierigkeiten bewusst, mit denen Kantone und Gemeinden zu kämpfen ha- ben. Auch aus Solidaritätsgründen gegenüber den Wasser- herkunftsgebieten erklärt er sich deshalb bereit, die Frage des Motionärs zu prüfen, und beantragt die Umwandlung in ein Postulat. Schriftliche Erklärung des Bundesrates Déclaration écrite du Conseil fédéral Der Bundesrat beantragt, die Motion in ein Postulat umzu- wandeln. Ueberwiesen als Postulat - Transmis comme postulat #ST# 92.3431 Motion Cavadini Adriano Alpentransit durch den Gotthard. Linienführung Lugano-Grenze Mozione Cavadini Adriano Alptransit del Gottardo. Definire il tracciato da Lugano al Confine con l'Italia Motion Cavadini Adriano Transit à travers le Gothard. Tracé entre Lugano et la frontière italienne Wortlaut der Motion vom 8. Oktober 1992 Der Bundesrat wird eingeladen: 1. die Kontakte mit den italienischen Behörden zu intensivie- ren, um a festzulegen, auf welchen Linien (Chiasso-Mailand und/ oder Tessin-Luino) der Verkehr von der künftigen Gotthard- Transversale her weitergeführt wird; b. zu prüfen, ob die gewählten italienischen Linienführungen in der Lage sind, den stärker gewordenen Verkehr zu bewälti- gen, und, wenn nicht, sicherzustellen, dass Italien rechtzeitig die entsprechenden Investitionen und Anpassungen vor- nimmt; 2. mit Italien die Untersuchungen und die Projektierung der Ei- senbahnlinie Lugano-Grenze weiter voranzutreiben, weil erst nach deren Festlegung die Projekte der Linienführung Bellin- zona-Lugano und des künftigen Bahnhofs Lugano genau um- schrieben werden können; 3. dem Parlament nötigenfalls einen Kreditbeschluss für die Projektierung der Linie Lugano-Chiasso und eventuell Tes- sin-Luino, wie in Punkt 2 dargelegt, vorzulegen. Testo de//a mozione dell'8 ottobre 1992 II Consiglio federale è invitato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