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92.3211 vom 9. Dezember 1992</w:t>
      </w:r>
    </w:p>
    <w:p>
      <w:r>
        <w:t>Bundesverwaltung, 1992-12-09, DE</w:t>
      </w:r>
    </w:p>
    <w:p>
      <w:r>
        <w:rPr>
          <w:b/>
        </w:rPr>
        <w:t xml:space="preserve">Quelle: </w:t>
      </w:r>
      <w:r>
        <w:t>https://mcp.opencaselaw.ch/entscheid/ch_vb_92.3211</w:t>
      </w:r>
    </w:p>
    <w:p>
      <w:r>
        <w:t>FR: CH_VB 92.3211 du 9 décembre 1992</w:t>
      </w:r>
    </w:p>
    <w:p>
      <w:r>
        <w:t>IT: CH_VB 92.3211 del 9 dicembre 1992</w:t>
      </w:r>
    </w:p>
    <w:p>
      <w:pPr>
        <w:pStyle w:val="Heading2"/>
      </w:pPr>
      <w:r>
        <w:t>Erwägungen</w:t>
      </w:r>
    </w:p>
    <w:p>
      <w:r>
        <w:rPr>
          <w:b/>
        </w:rPr>
        <w:t>E. 9</w:t>
      </w:r>
    </w:p>
    <w:p>
      <w:r>
        <w:t>Dezember 1992 1211 Ausbildung, Arbeitsmarkt, Wettbewerb. Vorstösse En général, la législation relative à la protection de l'emploi doit mieux tenir compte des évolutions sociales, économiques et technologiques: ce n'est qu'ainsi que la productivité du tra- vail, en tant que facteur important de la compétitivité, pourra être améliorée. L'interdiction du travail de nuit des femmes doit être supprimée. Les partenaires sociaux conserveront un rôle important dans la conception et le développement ultérieur du droit du travail. Les changements nécessaires dans la politique à l'égard de la main-d'oeuvre étrangère exigeront une distinction claire entre une politique d'asile humanitaire et une politique des étran- gers fondée sur les impératifs du marché du travail. Il s'agit d'abord, comme indiqué ci-devant, de privilégier davantage la main-d'oeuvre hautement qualifiée que les travailleurs non qualifiés. Si cela s'avère raisonnable, la Suisse doit s'associer aux me- sures internationales prises en matière d'asile (convention sur le pays de premier asile, etc.). Des mesures protectionnistes propres à la Suisse devront être prévues dans le but d'éviter que l'effectif des étrangers atteigne un niveau politiquement et socialement insupportable. Compte tenu des raisons exposées, le Conseil fédéral est chargé de soumettre dans les meilleurs délais au Parlement les réformes législatives propres à une amélioration effective de la situation sur le marché suisse du travail. Il s'agit notamment - de la loi fédérale sur le travail dans l'industrie, l'artisanat et le commerce, ainsi que les dispositions sur le contrat de travail fi- gurant au titre dixième du Code des obligations; - de la loi fédérale sur le séjour et l'établissement des étran- gers; - de dispositions législatives visant à généraliser la reconnais- sance des diplômes, à harmoniser les limitations cantonales de l'admission à certaines professions et à garantir une forma- tion professionnelle mieux adaptée aux besoins (art. 33,2e al. était 34ter, let g est). Mitunterzeichner-Cosignataires: Bisig, Bloetzer, Büttiker, Ca- vadini Jean, Cottier, Coutau, Danioth, Delalay, Frick, Gadient, Gemperli, Huber, Iten Andréas, Jagmetti, Küchler, Kündig, Lo- retan, Morniroli, Reymond, Rhyner, Ruesch, Schmid Carlo, Schule, Seiler Bernhard, Simmen, Ziegler Oswald, Zimmerli (27) #ST# 92.3211 Motion Coutau Belebung der Wirtschaft und Stärkung des Wettbewerbs Revitalisation de l'économie par renforcement de la concurrence Wortlaut der Motion vom 9. Juni 1992 Der Bundesrat wird ersucht- unabhängig von der Anpassung des schweizerischen Rechts an das Abkommen über den Eu- ropäischen Wirtschaftsraum - die Bestimmungen des öffentli- chen und des privaten Rechts zu überprüfen, die eine Ein- schränkung des Wettbewerbs innerhalb der Schweiz be- zwecken oder eine solche bewirken. Im einzelnen geht es darum: 1. die gesetzlichen und reglementarischen Bestimmungen zu eliminieren, die den freien Zugang zum Markt einschränken und die Preise willkürlich und unverhältnismässig beein- flussen; 2. dem privaten Sektor die Märkte zu öffnen, in denen öffent- lich-rechtliche Unternehmen oder Regiebetriebe des Bundes eine marktbeherrschende Stellung einnehmen oder ein Mo- nopol ausüben; 3. die Submissionspraxis staatlicher und halbstaatlicher Un- ternehmen zu liberalisieren; 4. die Situationen genauer zu definieren, in denen Kartellab- sprachen, die Marktbeherrschung durch einzelne Unterneh- men oder andere wettbewerbsbehindernde Praktiken als missbräuchlich zu betrachten sind; 5. eine Kontrolle einzuführen über Fusionen von Unterneh- men und Uebernahmen von bedeutenden Beteiligungen, die zu marktbeherrschenden Stellungen führen können; 6. die Verfahren und die Kompetenzverteilung zwischen Ver- waltung und Gerichten anzupassen und die entsprechenden Strafbestimmungen zu verschärfen. Texte de la motion du 9 juin 1992 Le Conseil fédéral est invité - indépendamment des adapta- tions du droit suisse rendues nécessaires par le Traité sur l'Es- pace économique européen - à réviser les dispositions de droit public et de droit privé qui ont pour effet ou pour objet de restreindre la concurrence à l'intérieur du pays. Il s'agit en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