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92.3121 vom 19. Juni 1992</w:t>
      </w:r>
    </w:p>
    <w:p>
      <w:r>
        <w:t>Bundesverwaltung, 1992-06-19, DE</w:t>
      </w:r>
    </w:p>
    <w:p>
      <w:r>
        <w:rPr>
          <w:b/>
        </w:rPr>
        <w:t xml:space="preserve">Quelle: </w:t>
      </w:r>
      <w:r>
        <w:t>https://mcp.opencaselaw.ch/entscheid/ch_vb_92.3121</w:t>
      </w:r>
    </w:p>
    <w:p>
      <w:r>
        <w:t>FR: CH_VB 92.3121 du 19 juin 1992</w:t>
      </w:r>
    </w:p>
    <w:p>
      <w:r>
        <w:t>IT: CH_VB 92.3121 del 19 giugno 1992</w:t>
      </w:r>
    </w:p>
    <w:p>
      <w:pPr>
        <w:pStyle w:val="Heading2"/>
      </w:pPr>
      <w:r>
        <w:t>Erwägungen</w:t>
      </w:r>
    </w:p>
    <w:p>
      <w:r>
        <w:rPr>
          <w:b/>
        </w:rPr>
        <w:t>E. 19</w:t>
      </w:r>
    </w:p>
    <w:p>
      <w:r>
        <w:t>Juni 1992 N 1203 Motion Spielmann müssen. Bei einer Umlagerung der Einnahmen der Schwer- verkehrsabgabe auf den in unserem Lande verbrauchten Die- seltreibstoff müsste ein Zuschlag von gut 15 Rappen pro Liter erhoben werden (Zahlen 1991 ; ohne Berücksichtigung der ex- ternen Kosten und Nutzen). Für Fahrzeuge, welche - im Ge- gensatz zu solchen für Land- und Forstwirtschaft, Bauge- werbe, öffentliche Transportunternehmungen usw. -nicht An- spruch auf zollbegünstigten Treibstoff haben und nicht der Schwerverkehrsabgabe auf Treibstoff unterliegen sollen, also in- und ausländische Personenwagen, Arbeitsmotorwagen u. ä, müssten spezielle Rückerstattungsregelungen geschaf- fen werden. Das Preisgefälle zum Ausland würde weiter erhöht. Somit wäre der Anreiz bei in- und ausländischen Fahrzeughaltern, sich im Ausland einzudecken, noch grösser. Um den Treib- stoffbezug in der Schweiz zu erzwingen, müssten die Freigren- zen drastisch reduziert werden: Gegenwärtig beträgt die Frei- menge für in der Schweiz immatrikulierte Fahrzeuge bei der Wiedereinfahrt aus dem Ausland 400 Liter; für im Ausland im- matrikulierte Fahrzeuge ist der gesamte Inhalt der direkt mit dem Fahrzeugmotor verbundenen Tanks frei von Einfuhrab- gaben. Die niedrigsten Freimengen in Europa kennen mit 200 Litern die Bundesrepublik Deutschland, Oesterreich und Bulgarien. Selbst diese Menge von 200 Litern würde aber aus- reichen, die Schweiz ohne Auftanken zu transitieren. Die Frei- menge wäre demnach noch tiefer anzulegen. Zur Durchset- zung dieser Vorschriften müssten die Grenzkontrollen erhöht werden, was sicher nicht im Interesse der Transportunterneh- mer liegt Solche Massnahmen stünden im Widerspruch zu Sinn und Geist des Abkommens vom 21. November 1990 zwi- schen der Schweizerischen Eidgenossenschaft und der Euro- päischen Wirtschaftsgemeinschaft über die Erleichterung der Kontrollen und Formalitäten im Güterverkehr (SR 0.631.242.05, AS 1991 II 1489ff.), um nur eine unserer interna- tionalen Verpflichtungen zu nennen. 3.2 Die Reduktion der Freigrenzen für die Einfuhr des sich in den direkt mit dem Fahrzeugmotor verbundenen Tanks be- findlichen Treibstoffs würde einen europäischen Alleingang darstellen. Ausländische Massnahmen «zur Wiederherstel- lung des Gleichgewichts» wären zu erwarten. 4. Die Idee, eine spezielle Abgabe auf dem Schwerverkehr über eine zusätzliche Belastung des Treibstoffs zu erheben, lässt sich so lange nicht ins Auge fassen, als die Abgaben auf Dieseltreibstoffen nicht auf einem hohen Niveau europäisch harmonisiert sind. Nur bei europäisch harmonisierten Treib- stoffabgaben kann auf Massnahmen gegen den «Treibstoff- tourismus» verzichtet werden. Eine solche Harmonisierung müsste überdies auf einem hohen Niveau erfolgen, damit eine volle Kostendeckung ermöglicht werden kann. Weil diese Motion direkt die Beschlussfassung zur Vorlage über die Verlängerung und Neugestaltung der Strassenbenüt- zungsabgaben betrifft, sollte sie zweckmässigerweise bei der Behandlung dieser Vorlage eingebracht werden. Schriftliche Erklärung des Bundesrates Déclaration écrite du Conseil fédéral Der Bundesrat beantragt, die Motion in ein Postulat umzuwan- deln. Präsident: Der Vorstoss wird von Herrn Friderici Charles be- kämpft Die Diskussion wird verschoben. Verschoben -Renvoyé #ST# 91.3409 Motion Spielmann Arbeitslose und Krankentaggeldversicherung Chômeurs et assurance perte de gain Wortlaut der Motion vom 11. Dezember 1991 Nach der geltenden Regelung verlieren Arbeitslose bei Krank- heit ihren Anspruch auf Arbeitslosenentschädigung; verfügen sie über keine Krankentaggeldversicherung, so haben sie gar keine Einkünfte mehr. Angesichts dieser Situation wird der Bundesrat beauftragt, die nötigen rechtlichen Grundlagen für die Einführung einer obli- gatorischen Krankentaggeldversicherung zu schaffen und bis zum Inkrafttreten dieses Obligatoriums die nötigen Massnah- men zu treffen, damit Arbeitslosen, die infolge Krankheit keine Einkünfte mehr haben, eine Entschädigung ausgerichtet wer- den kann. Texte de la motion du 11 décembre 1991 Dans le régime d'assurance actuel les chômeurs malades per- dent le droit aux indemnités de chômage, s'il ne sont pas au bénéfice d'une assurance perte de gain ils se retrouvent même sans aucune ressource. Face à cette situation le Conseil fédéral est chargé de créer les bases légales nécessaires pour rendre obligatoire l'assurance perte de gain et dans l'attende de la mise en vigueur de cette obligation de prendre les dispositions permettant le verse- ment d'une allocation aux chômeurs qui se retrouvent sans ressource aucune suite à une maladie. Mitunterzeichner-Cosignataires: Zisyadis (1 ) Schriftliche Begründung - Développement par écrit L'auteur renonce au développement et demande une réponse écrite. Schriftliche Stellungnahme des Bundesrates vom 29. April 1992 Rapport écrit du Conseil fédéral du 29 avril 1992 Dans son message du 19 août 1981 sur la révision partielle de l'assurance-maladie, le Conseil fédéral avait notamment pro- posé de rendre obligatoire l'assurance d'une indemnité jour- nalière (art. 40a à 40s). Cette proposition n'a cependant pas été reprise par le Parlement dans le projet de loi fédérale sur l'assurance-maladie et maternité du 20 mars 1987, que le peu- ple a en fin de compte rejeté lors du scrutin du 6 décembre 1987. Si le Conseil fédéral reconnaît l'importance du problème sou- levé par la motion, il ne peut toutefois accepter celle-ci que sous la forme du postulat En effet, son dernier essai de réviser le régime de l'assurance d'une indemnité journalière s'est soldé par un échec au sein du Parlement Dès lors, le Conseil fédéral s'en tient à son intention de réviser prioritairement l'as- surance des soins médicaux et pharmaceutiques (voir mes- sage du 6 novembre 1991 sur la révision de l'assurance-mala- die, FF 1992 I 77). Il a exprimé un avis identique dans sa réponse au postulat Dormann du 4 octobre 1990 relatif à l'as- surance d'une indemnité journalière obligatoire pour les salariés. Selon l'article 28, alinéas 1 er et 2, de la loi sur l'assurance-chô- mage, l'indemnité journalière du chômeur persiste au plus jusqu'au 30e jour suivant le début de la maladie et se limite au nombre de 34 durant le délai-cadre. Les indemnités journaliè- res de l'assurance-maladie, qui représentent une compensa- tion de la perte de revenu, sont déduites de l'indemnité de chô- mage. La situation du chômeur est donc très analogue à celle du tra-</w:t>
      </w:r>
    </w:p>
    <w:p>
      <w:r>
        <w:t>Schweizerisches Bundesarchiv, Digitale Amtsdruckschriften Archives fédérales suisses, Publications officielles numérisées Archivio federale svizzero, Pubblicazioni ufficiali digitali Motion Giezendanner Schwerverkehrsabgabe auf Treibstoff Motion Giezendanner Surtaxe sur le diesel en guise de redevance sur les poids lourds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92.3121 Numéro d'objet Numero dell'oggetto Datum 19.06.1992 - 08:00 Date Data Seite 1202-1203 Page Pagina Ref. No</w:t>
      </w:r>
    </w:p>
    <w:p>
      <w:r>
        <w:rPr>
          <w:b/>
        </w:rPr>
        <w:t>E. 20</w:t>
      </w:r>
    </w:p>
    <w:p>
      <w:r>
        <w:t>021 278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