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92.3117 vom 9. Oktober 1992</w:t>
      </w:r>
    </w:p>
    <w:p>
      <w:r>
        <w:t>Bundesverwaltung, 1992-10-09, DE</w:t>
      </w:r>
    </w:p>
    <w:p>
      <w:r>
        <w:rPr>
          <w:b/>
        </w:rPr>
        <w:t xml:space="preserve">Quelle: </w:t>
      </w:r>
      <w:r>
        <w:t>https://mcp.opencaselaw.ch/entscheid/ch_vb_92.3117</w:t>
      </w:r>
    </w:p>
    <w:p>
      <w:r>
        <w:t>FR: CH_VB 92.3117 du 9 octobre 1992</w:t>
      </w:r>
    </w:p>
    <w:p>
      <w:r>
        <w:t>IT: CH_VB 92.3117 del 9 ottobre 1992</w:t>
      </w:r>
    </w:p>
    <w:p>
      <w:pPr>
        <w:pStyle w:val="Heading2"/>
      </w:pPr>
      <w:r>
        <w:t>Erwägungen</w:t>
      </w:r>
    </w:p>
    <w:p>
      <w:r>
        <w:rPr>
          <w:b/>
        </w:rPr>
        <w:t>E. 9</w:t>
      </w:r>
    </w:p>
    <w:p>
      <w:r>
        <w:t>Oktober 1992 N 2159 Motion der sozialdemokratischen Fraktion Schriftliche Begründung Die Lex-Friedrich-Bestimmungen müssen beim Inkrafttreten des EWR-Vertrages gegenüber den Angehörigen des EWR gelockert werden, und sie müssen nach einer Uebergangszeit von fünf Jahren in ihrem Kern aufgegeben werden. Dem Be- richt «Kontaktgremium der Kantone» ist zu entnehmen, dass die erste Phase die folgenden vier Bereiche umfasst: - alle Wohnungen - Haupt-, Zweit- oder Ferienwohnungen - für Angehörige von EWR-Vertragsstaaten, die ihren Wohnsitz in der Schweiz haben; - Zweitwohnungen für Angehörige von EWR-Vertragsstaaten, die ihren Wohnsitz nicht in der Schweiz haben, hier aber regel- mässig eine berufliche Tätigkeit ausüben; - Grundstücke, die der Führung einer Betriebsstätte oder der Ausübung einer beruflichen Tätigkeit dienen; - Grundstücke, die der wirtschaftlichen Tätigkeit im primären Sektor und im Bereich der Parahotellerie (Ferienunterneh- men) dienen. Im Rahmen der Eurolex ist vorgesehen, mit einem neuen Arti- kel 7a der Lex Friedrich die Liste der Ausnahmen zu erweitern und damit die Liberalisierung in den obengenannten Berei- chen zu vollziehen. Grundsätzlich gehört nun zu dieser Befreiung des Kapitalver- kehrs auch der Erwerb von Ferienwohnungen. Zwar gilt hier vorläufig noch eine Richtlinie der EG (Nr. 88/361), welche ein- zelnen Staaten einen Vorbehalt zugunsten einschränkender Regelungen zugesteht Diese Richtlinie steht aber auf wackeli- gen Füssen, nachdem die EG ihre Absicht bekundet hat, die entsprechende Ausnahme aufzuheben. Aus diesen Gründen bestehen berechtigte Befürchtungen, dass schon in der ersten Phase der Lex-Friedrich-Lockerung (Inkrafttreten des EWR-Vertrages) eine immense Nachfrage nach Erwerb von Grundeigentum, insbesondere im Zweitwoh- nungs-und Parahotelleriebereich, einsetzen wird. Einmal wird man mit einer Zunahme von Niederlassungen rechnen müs- sen, dann wird ein Teil der eine berufliche Tätigkeit Ausüben- den die Gelegenheit benützen, um Grundeigentum zu erwer- ben; dazu kommt der ganze Bereich der Parahotellerie, der völlig freigegeben wird. Es ist davon auszugehen, dass die Gemeinden dem wachsenden Druck auf den Boden nicht standzuhalten vermögen. Der Bund darf sich deshalb nicht seiner Verantwortung entziehen und die Regelung von Ersatz- massnahmen lediglich den Kantonen und Gemeinden über- lassen. Es ist im Vorfeld der Diskussionen zum EWR-Vertrag immer wieder gesagt worden, mit der Liberalisierung der Lex- Friedrich-Bestimmungen würden im Rahmen der inneren Re- formen gleich wirksame Ersatzmassnahmen ergiffen, welche gegenüber den Angehörigen des EWR nichtdiskriminatori- schen Charakter hätten, aber insgesamt den Druck auf den Er- werb von Grundstücken auffingen. Eben solche griffige Mass- nahmen erwarten wir jetzt auf Bundesebene.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