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92.310 vom 29. September 1993</w:t>
      </w:r>
    </w:p>
    <w:p>
      <w:r>
        <w:t>Bundesverwaltung, 1993-09-29, DE</w:t>
      </w:r>
    </w:p>
    <w:p>
      <w:r>
        <w:rPr>
          <w:b/>
        </w:rPr>
        <w:t xml:space="preserve">Quelle: </w:t>
      </w:r>
      <w:r>
        <w:t>https://mcp.opencaselaw.ch/entscheid/ch_vb_92.310</w:t>
      </w:r>
    </w:p>
    <w:p>
      <w:r>
        <w:t>FR: CH_VB 92.310 du 29 septembre 1993</w:t>
      </w:r>
    </w:p>
    <w:p>
      <w:r>
        <w:t>IT: CH_VB 92.310 del 29 settembre 1993</w:t>
      </w:r>
    </w:p>
    <w:p>
      <w:pPr>
        <w:pStyle w:val="Heading2"/>
      </w:pPr>
      <w:r>
        <w:t>Erwägungen</w:t>
      </w:r>
    </w:p>
    <w:p>
      <w:r>
        <w:rPr>
          <w:b/>
        </w:rPr>
        <w:t>E. 29</w:t>
      </w:r>
    </w:p>
    <w:p>
      <w:r>
        <w:t>septembre 1993 tence au Parlement conduirait certainement à une politisation de la question et toute modification devrait s'effectuer par le biais d'une révision de la loi nécessitant une procédure notoi- rement complexe. La réglementation en vigueur a fait ses preuves dans l'inter- valle, et les effets positifs qu'elle exerce sur la sécurité routière ainsi que sur l'environnement ne sont plus controversés à l'heure actuelle. Antrag der Kommission Die Kommission beantragt mit 8 zu 0 Stimmen (einstimmig), der Standesinitiative Thurgau keine Folge zu geben. Proposition de la commission La commission propose, par 8 voix sans opposition (à l'unanimité), de ne pas donner suite à l'initiative du canton de Thurgovie. Danioth, Berichterstatter: Es sei für die Erwägungen der Kom- mission für Verkehr und Fernmeldewesen sowie für den An- trag, der Standesinitiative keine Folge zu geben, auf den schriftlichen Bericht vom 1. Juli dieses Jahres verwiesen. Er- gänzend kann hierzu folgendes ausgeführt werden: Die Ziele der Standesinitiative Thurgau sind aus ihrer Entste- hungsgeschichte näher zu erklären. Entstanden ist die Stan- desinitiative nämlich durch eine im Grossen Rat dieses Ost- schweizer Kantons eingereichte Initiative, welche Tem- po 130 km/h einführen wollte. In der Folge wurde dann ein Ge- genvorschlag ausgearbeitet, der eine relativ knappe Zustim- mung des kantonalen Parlamentes fand. Mit der Initiative soll erstens die Kompetenz zur Festlegung der Geschwindigkeitsbeschränkungen von der Stufe Bundesrat auf die Stufe Parlament, also auf Gesetzesstufe, verschoben werden, wie dies eine Gegenüberstellung mit dem bestehen- den Artikel 32 SVG klar aufzeigt Zweitens sollen die bisherigen Höchstlimiten von 80/100 km/h und 100/120 km/h im Gesetz festgelegt werden. Drittens soll die Herab- bzw. die Heraufsetzung dieser Limiten bei besonderen Verhältnissen durch eine zwingende Formu- lierung verankert werden. Nachdem sich der schweizerische Souverän am 26. Novem- ber 1989 im Zusammenhang mit der Volksinitiative «Pro Tempo 130/100» klar gegen höhere Geschwindigkeitslimiten sowie deren Verankerung in der Verfassung ausgesprochen hat, gibt es auch heute keinen Grund, starre Geschwindig- keitslimiten in das Gesetz aufzunehmen. Die Erfahrung zeigt nämlich, dass die zuständigen Behörden, vorab der Bundes- rat, situationsgerecht - das heisst an den Bedürfnissen der Verkehrssicherheit und der Umweltanforderungen orientiert - Geschwindigkeitserhöhungen oder Geschwindigkeitsreduk- tionen vornehmen können müssen. Die gemäss Verordnung bestehende allgemeine Höchstlimite von 120 km/h auf Auto- bahnen findet demnach auch den Rückhalt im Volk. Der Ständerat hat anlässlich der Sommersession 1993 zur par- lamentarischen Initiative Plattner «Bundeskompetenz fürTem- poreduktionen auf Autobahnen» Stellung genommen. Er hat diese Initiative ebenfalls abgelehnt, obwohl er an sich dem An- liegen des Initianten positiv gegenüberstand. Er fand aber, dass die Problematik einer vertieften Ueberprüfung bedarf. Bekanntlich war die Kompetenz für punktueile Reduktionen kurz vorher den Kantonen übertragen worden. Das hätte wie- der ein Hin und Her verursacht, und zwar ohne vertiefte Prü- fung, und das wollten wir nicht. Grundsätzlich sind die Kommission und mit ihr auch der Rat der Meinung, dass im Bereich der Autobahnen und der Ausge- staltung der Geschwindigkeit ein Föderalismus fehl am Platz ist. In Anbetracht der angekündigten Revision des Strassen- verkehrsgesetzes erschien es indessen zweckmässig, dieses Anliegen in die Gesamtrevision zu verweisen. Abgesehen da- von haben beide Räte zu wiederholten Malen bei der Behand- lung von Vorstössen zum Ausdruck gebracht, dass die Kom- petenz für die Festlegung von Geschwindigkeitslimiten nicht dem Parlament zuzuweisen ist, sondern im Handlungs- und Verantwortungsbereich des Bundesrates bleiben soll. Aus diesen Gründen beantragt Ihnen die Kommission mit 8 zu 0 Stimmen, der Standesinitiative Thurgau keine Folge zu geben. Angenommen -Adopté An den Nationalrat-Au Conseil national #ST# 93.038 Kantonsverfassungen (BE, U R, SZ, NW, GL, BL, AR, AI, SG, GE). Gewährleistung Constitutions cantonales (BE, UR, SZ, NW, GL, BL, AR, AI, SG, GE). Garantie Botschaft und Beschlussentwurf vom 7. April 1993 (BBII1180) Message et projet d'arrêté du 7 avril 1993 (FF II 181 ) Herr Rhinow unterbreitet im Namen der Kommission den fol- genden schriftlichen Bericht: Nach Artikel 6 Absatz 1 der Bundesverfassung sind die Kan- tone verpflichtet, für ihre Verfassungen die Gewährleistung des Bundes einzuholen. Nach Absatz 2 des gleichen Artikels gewährleistet der Bund kantonale Verfassungen, wenn sie we- der die Bundesverfassung noch das übrige Bundesrecht ver- letzen, die Ausübung der politischen Rechte in republikani- schen Formen sichern, vom Volk angenommen worden sind und revidiert werden können, sofern die absolute Mehrheit der Bürger es verlangt. Erfüllt eine kantonale Verfassung diese Voraussetzungen, so muss sie gewährleistet werden; erfüllt eine kantonale Verfassungsnorm eine dieser Voraussetzun- gen nicht, so darf sie nicht gewährleistet werden. Die vorliegenden Verfassungsänderungen haben zum Ge- genstand: - Kanton Bern: Variantenabstimmung bei Totalrevision der Verfassung; - Kanton Uri: Organisation des Gerichtswesens; - Kanton Schwyz: Neuordnung des Verhältnisses zwischen Kirche und Staat; - Kanton Nidwaiden: interkommunale Zusammenarbeit; - Kanton Glarus: Gemeindeorganisation; - Kanton Basel-Landschaft: Unterhalt von Rheinhäfen; - Kanton Appenzell Ausserrhoden: Erteilung des Bürgerrechts; - Kanton Appenzell Innerrhoden: Unterschriftenzahl für das Finanzreferendum; Frauenstimm- recht und Herabsetzung des Stimmrechtsalters (entgegen dem Druckfehler unter Ziff. 182.1 der Botschaft lautet der neue Text von Art. 30 Abs. 10: «In derselben sowie in den Gerich- ten ....»); Gerichtsorganisation; -KantonSt. Gallen: Herabsetzung des Stimmrechtsalters; - Kanton Genf: Bürgerrecht. Alle Aenderungen entsprechen dem Artikel 6 Absatz 2 der Bundesverfassung; sie sind deshalb zu gewährleisten. M. Rhinow présente au nom de la commission le rapport écrit suivant: En vertu de l'article 6 alinéa premier de la Constitution fédé- rale, les cantons sont tenus de demander à la Confédération la</w:t>
      </w:r>
    </w:p>
    <w:p>
      <w:r>
        <w:t>Schweizerisches Bundesarchiv, Digitale Amtsdruckschriften Archives fédérales suisses, Publications officielles numérisées Archivio federale svizzero, Pubblicazioni ufficiali digitali Standesinitiative Thurgau Tempolimiten auf Gesetzesstufe Initiative du canton de Thurgovie Limitation de la vitesse sur la route selon les cas envisagés par la loi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06 Séance Seduta Geschäftsnummer 92.310 Numéro d'objet Numero dell'oggetto Datum 29.09.1993 - 08:00 Date Data Seite 704-706 Page Pagina Ref. No 20 023 375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