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92.3084 vom 19. Juni 1992</w:t>
      </w:r>
    </w:p>
    <w:p>
      <w:r>
        <w:t>Bundesverwaltung, 1992-06-19, DE</w:t>
      </w:r>
    </w:p>
    <w:p>
      <w:r>
        <w:rPr>
          <w:b/>
        </w:rPr>
        <w:t xml:space="preserve">Quelle: </w:t>
      </w:r>
      <w:r>
        <w:t>https://mcp.opencaselaw.ch/entscheid/ch_vb_92.3084</w:t>
      </w:r>
    </w:p>
    <w:p>
      <w:r>
        <w:t>FR: CH_VB 92.3084 du 19 juin 1992</w:t>
      </w:r>
    </w:p>
    <w:p>
      <w:r>
        <w:t>IT: CH_VB 92.3084 del 19 giugno 1992</w:t>
      </w:r>
    </w:p>
    <w:p>
      <w:pPr>
        <w:pStyle w:val="Heading2"/>
      </w:pPr>
      <w:r>
        <w:t>Erwägungen</w:t>
      </w:r>
    </w:p>
    <w:p>
      <w:r>
        <w:rPr>
          <w:b/>
        </w:rPr>
        <w:t>E. 19</w:t>
      </w:r>
    </w:p>
    <w:p>
      <w:r>
        <w:t>juin 1992 Zentrale Elemente dieser Verordnung bilden die systemati- sche Erfassung der Risiken solcher Transporte und die daraus abzuleitenden zusätzlichen Sicherheitsmassnahmen. 1. Durch die Einhaltung der erwähnten Transportvorschriften ist die Sicherheit der Bevölkerung und der an den Transporten beteiligten Personen gewährleistet Für die Nordwestschwei- zer Bevölkerung ergeben sich durch den Transport von radio- aktiven Abfällen auf dem Schienenweg keine erheblichen Ri- siken. 2. Die Transporte werden nach den Betriebsvorschriften der SBB abgewickelt Es kommt vor, dass Waggons mit radioakti- ven Abfällen eine gewisse Zeit unbewacht in Bahnhöfen ste- hen. Da der Transport in entsprechend ausgelegten und ge- prüften Sicherheitsbehältern erfolgt, ist eine Bewachung der Transporte jedoch weder sinnvoll noch international vorge- schrieben oder üblich. 3. Die Transporte werden vorgängig der zuständigen Fach- stelle, der Nationalen Alarmzentrale (NAZ), gemeldet Polizei, Feuerwehr und weitere Sicherheitsorgane sind für Einsätze bei Unfällen jeder Art vorbereitet Eine zusätzliche Information dieser Organe über die Abwicklung von Transporten erübrigt sich. Sie würde ausser einem administrativen Aufwand zu kei- ner Erhöhung der Sicherheit der Transporte oder der Bevölke- rung beitragen. Präsident: Der Interpellant ist von der Antwort des Bundesra- tes befriedigt #ST# 92.3107 Interpellation Scherrer Jürg PTT-Gebühren. Taxen für das Bündelfunksystem «SpeedCom» «SpeedCom». Taxes perçues par les PTT Wortlaut der Interpellation vom 18. März 1992 Von Mai bis Ende 1991 führten die PTT einen Betriebsversuch mit dem sogenannten Bündelfunksystem «SpeedCom» durch. Per 1. Januar 1992 wurde das System definitiv einge- führt Bei den Kosten zeigen sich nun erhebliche Unterschiede zwi- schen Unternehmen des öffentlichen Verkehrs, Behörden, öf- fentlich-rechtlichen Körperschaften und Anstalten der Kan- tone und Gemeinden (Kategorie l) sowie Betrieben, Privaten, Vereinen und Organisationen als Träger öffentlicher Aufgaben ohne kommerzielle Interessen (Kategorie II) und übrigen Be- trieben und Privaten (Kategorie III). Während Unternehmen der Kategorie l eine monatliche Regal- gebühr von lediglich Fr. 2.25 zu entrichten haben, werden der Kategorie III Fr. 21.50, also fast das Zehnfache, verrechnet Diese Diskrepanz bedeutet eine weitere Wettbewerbsverzer- rung zugunsten öffentlicher Betriebe gegenüber der Privat- wirtschaft In diesem Zusammenhang bitte ich den Bundesrat um Beant- wortung der folgenden Fragen: 1. Auf welche Rechtsgrundlage stützt sich die einseitige Be- vorzugung von Betrieben des öffentlichen Verkehrs, Behör- den, öffentlich-rechtlichen Körperschaften und Anstalten der Kantone und Gemeinden? 2. Existieren solche wettbewerbsverzerrende Taxungleichhei- ten auch in anderen Bereichen der Telekommunikation? 3. Ist der Bundesrat bereit, bei den PTT zu intervenieren und eine einheitliche Taxe für alle Benutzer von «SpeedCom» und eventuell anderen Dienstleistungen der Telekommunikation durchzusetzen? Texte de l'interpellation du 18 mars 1992 De mai à décembre 1991, les PTT ont procédé à des essais sur un système de réseau à ressources partagées appelé «Speed- Com», qui a été adopté de manière définitive le 1er janvier 1992. Or d'importantes disparités apparaissent si l'on compare les coûts que doivent supporter d'une part les entreprises de transports publics, les autorités, les collectivités de droit public et les établissements des cantons et des communes (ca- tégorie I) et les entreprises, les particuliers, les associations et les organismes sans but lucratif, chargés de mandats publics (catégorie II) et d'autre part les autres entreprises et particu- liers (catégorie III). Alors que les utilisateurs de la première catégorie ne versent qu'une taxe mensuelle de 2 frs 25, ceux de la troisième caté- gorie doivent s'acquitter chaque mois d'une taxe de 21 frs 50, soit près de dix fois supérieure. Cette disparité est un facteur de plus qui contribue à la distor- sion de la concurrence en favorisant les entreprises publi- ques. A ce propos, je prie le Conseil fédéral de répondre aux ques- tions suivantes: 1. Sur quelle base légale se fonde-t-on pour privilégier les entreprises de transports publics, les autorités, les collectivités de droit public et les établissements des cantons et des com- munes? 2. Existe-t-il de telles inégalités contraires aux règles de la libre concurrence dans d'autres domaines des télécommunica- tions en matière de taxes? 3. Le Conseil fédéral est-il disposé à intervenir auprès des PTT pour imposer une taxe unique pour tous les utilisateurs de «SpeedCom», et subsidiairement, d'autres services des PTT en matière de télécommunications? Mitunterzeichner - Cosignataires: Borer Roland, Dreher, Gie- zendanner, Jenni Peter, Kern, Moser, Steinemann (7) Schriftliche Begründung - Développement par écrit Der Urheber verzichtet auf eine Begründung und wünscht eine schriftliche Antwort Schriftliche Stellungnahme des Bundesrates vom 1. Juni 1992 Rapport écrit du Conseil fédéral du 1er juin 1992 Gegenwärtig gibt es rund 30000 Betriebsfunk-Konzessio- näre, die etwa 180 000 Funkgeräte für professionelle Zwecke verwenden. Der Betriebsfunk verfügt aber nur über eine be- schränkte Anzahl Kanäle. Dieses natürliche Gut kann nicht be- liebig vermehrt werden. Zahlreiche Betriebsfunknetze sind da- her in den Ballungszentren zeitweise stark überlastet. Um im Bereich des Betriebsfunks eine bessere Kanalausnüt- zung zu erzielen, sind zurzeit im EG-Raum zahlreiche Fern- meldebetriebe daran, ein neues Zweiweg-System, den Bün- delfunk, nach einer weit verbreiteten Norm einzuführen. Dieser frequenzsparende Dienst ist für geschlossene Benützergrup- pen bestimmt Der Bündelfunk ist zudem ausbaufähig; er kann jederzeit rasch an die Kundenbedürfnisse angepasst werden. Um die wachsende Nachfrage zu befriedigen, haben die PTT- Betriebe im Verlaufe von 1990 begonnen, drei Bündelfunk- netze für Gebiete hoher Funkdichte aufzubauen. In der Zwi- schenzeit haben Betriebsversuche in den drei Wirtschaftsräu- men Basel-Frick-Sissach, Genf-Lausanne und Zürich-Baden- Winterthur gezeigt, dass das Bündelfunksystem die Antwort auf viele Probleme beim herkömmlichen Betriebsfunk gibt Im Januar 1992 haben die PTT-Betriebe den Bündelfunk unter dem Namen «SpeedCom» in den erwähnten Wirtschaftsräu- men, wo der Betriebsfunk extrem überlastet ist, definitiv einge- fühlt Die vom Interpellanten angesprochene Gebührenordnung für die Teilnahme am Bündelfunk «SpeedCom» basierte auf der Verordnung l zum Telegraphen- und Telephonverkehrsgesetz sowie der entsprechenden Ausführungsverordnung des Eid- genössischen Verkehrs- und Energiewirtschaftsdepartemen-</w:t>
      </w:r>
    </w:p>
    <w:p>
      <w:r>
        <w:t>Schweizerisches Bundesarchiv, Digitale Amtsdruckschriften Archives fédérales suisses, Publications officielles numérisées Archivio federale svizzero, Pubblicazioni ufficiali digitali Interpellation Keller Rudolf Gefährdung der Nordwestschweizer Bevölkerung durch Atommülltransporte Interpellation Keller Rudolf Transports de déchets nucléaires. Mise en danger de la population du nord-ouest de la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92.3084 Numéro d'objet Numero dell'oggetto Datum 19.06.1992 - 08:00 Date Data Seite 1241-1242 Page Pagina Ref. No</w:t>
      </w:r>
    </w:p>
    <w:p>
      <w:r>
        <w:rPr>
          <w:b/>
        </w:rPr>
        <w:t>E. 20</w:t>
      </w:r>
    </w:p>
    <w:p>
      <w:r>
        <w:t>021 325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