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92.3078 vom 19. Juni 1992</w:t>
      </w:r>
    </w:p>
    <w:p>
      <w:r>
        <w:t>Bundesverwaltung, 1992-06-19, DE</w:t>
      </w:r>
    </w:p>
    <w:p>
      <w:r>
        <w:rPr>
          <w:b/>
        </w:rPr>
        <w:t xml:space="preserve">Quelle: </w:t>
      </w:r>
      <w:r>
        <w:t>https://mcp.opencaselaw.ch/entscheid/ch_vb_92.3078</w:t>
      </w:r>
    </w:p>
    <w:p>
      <w:r>
        <w:t>FR: CH_VB 92.3078 du 19 juin 1992</w:t>
      </w:r>
    </w:p>
    <w:p>
      <w:r>
        <w:t>IT: CH_VB 92.3078 del 19 giugno 1992</w:t>
      </w:r>
    </w:p>
    <w:p>
      <w:pPr>
        <w:pStyle w:val="Heading2"/>
      </w:pPr>
      <w:r>
        <w:t>Erwägungen</w:t>
      </w:r>
    </w:p>
    <w:p>
      <w:r>
        <w:rPr>
          <w:b/>
        </w:rPr>
        <w:t>E. 19</w:t>
      </w:r>
    </w:p>
    <w:p>
      <w:r>
        <w:t>juin 1992 des dividendes et des bénéfices non distribués au PNB dimi- nue déjà avant le déclenchement de la récession proprement dite. Pour ce qui concerne le cycle conjoncturel actuel, on constate que la rémunération des salariés s'est encore accrue de près de 9 pour cent en termes nominaux (étant donné que le nombre total d'emplois s'est accru entre 1989 et 1990, la croissance des salaires par employé est un peu plus faible tout en restant positive) en 1990 alors que, dans le même temps, la somme des dividendes et des bénéfices non distribués des sociétés a reculé de plus de 6 pour cent (Les données pour 1991 ne sont pas encore disponibles.) L'évolution des résultats des banques a légèrement devancé le cycle conjoncturel. Les plus grandes d'entre elles ont enre- gistré un recul de leur bénéfice net en 1990 déjà La croissance des bénéfices bancaires en 1991 s'explique donc, pour une large partie, par le niveau de départ plus faible atteint l'année précédente. Si l'on considère révolution des bénéfices sur une période de cinq ans, on obtient des taux de croissance modestes. En raison de l'existence de réserves latentes - d'une ampleur variable selon les établissements et les exercices comptables - la valeur absolue du bénéfice net des banques doit toutefois être interprétée avec une certaine prudence. De plus, il ne faut pas perdre de vue que la croissance des bénéfices ne résulte pas en premier lieu du commerce intérieur, mais bien plutôt des bénéfices réalisés à l'étranger. Si l'on entend se faire une meilleure idée de la performance des banques, il convient de mettre en relation leurs résultats avec leurs tailles, surtout avec l'ampleur des fonds propres en- gagés (rapport entre le bénéfice net et les fonds propres). Comparée avec la rentabilité des fonds propres d'entreprises comme Nestlé ou Sandoz en 1990 (16,6 pour cent dans le pre- mier et 13,9 pour cent dans le second cas), la performance in- térieure à 10 pour cent (aussi bien en 1990 qu'en 1991) des grandes banques helvétiques paraît plutôt modeste. Si l'on se limite à la branche de la banque, on peut observer que la renta- bilité des fonds propres des établissements appartenant au sytème bancaire suisse est inférieure aux performances réali- sées dans les systèmes bancaires concurrents (rentabilité moyenne des fonds propres 1980-1989: USA 13,9; Japon 19,7; RFA17.4; Suisse11,1). (Les écarts observés doivent tou- tefois être relativisés en raison des pratiques plus restrictives en matière de réserves latentes à l'étranger et des exigences plus élevées dans notre pays en matière de fonds propres.) Relevons enfin qu'il est dans l'intérêt des salariés que les ban- ques connaissent une situation financière saine, ce qui impli- que qu'elles dégagent régulièrement des bénéfices (réels et non fictifs par la dissolution de réserves latentes). En cas de faillite d'une banque, l'expérience montre en effet que lorsque les petits épargnants veulent retirer leur argent, il est souvent déjà trop tard. La loi leur accorde certes une protection spé- ciale dans la mesure où, lors de la liquidation des actifs, ils pourront faire valoir leurs droits en priorité. La révision du droit sur les sociétés anonymes permettra en outre d'améliorer la transparence des comptes des banques et donc de mieux as- surer le droit à l'information des salariés et des actionnaires. De plus, le projet de loi fédérale sur les bourses et le com- merce des valeurs mobilières requiert également une plus grande transparence en prévoyant, pour les sociétés cotées en bourse, un devoir d'information conforme aux standards internationaux. La politique économique suisse cherche à créer un environne- ment permettant à notre économie de se développer dans le contexte institutionnel international. Elle vise en outre à créer des conditions-cadres garantissant un climat propice à l'inves- tissement et à l'innovation, mais également un réseau de pro- tection sociale, de même qu'une infrastructure adaptée aux besoins et un environnement intact Präsident: Die Interpellantin ist von der Antwort des Bundes- rates teilweise befriedigt. #ST# 92.3096 Interpellation Ziegler Jean Blockade des irakischen Kurdistan Blocus du Kurdistan irakien Wortlaut der Interpellation vom 16. März 1992 Die kurdische Bevölkerung im Irak lebt in äusserster Armut und unter dem anhaltenden Terror der Diktatur Saddam Hus- seins. Ist es da nach Auffassung des Bundesrates nicht ab- surd, das von den Kurden kontrollierte Oel der gleichen Blockade zu unterstellen wie das Oel, das von Saddam Hus- sein kontrolliert wird? Ist der Bundesrat bereit, bei den westlichen Staaten vorstellig zu werden, damit die Blockade des kurdischen Oels aufgeho- ben wird? Texte de l'interpellation du 16 mars 1992 Vu l'extrême misère de la population Kurde en Irak et de la ter- reur continuelle dont elle est l'objet de la part de la dictature de Saddam Hussein, le Conseil fédéral ne pense-t-il pas qu'il est absurde de soumettre le pétrole contrôlé par les Kurdes au même blocus que celui qui s'applique au pétrole contrôlé par Saddam Hussein? Le Conseil fédéral accepte-t-il de s'engager auprès des Etats occidentaux afin que ce blocus du pétrole kurde soit levé? Mitunterzeichner-Cosignataires: Keine -Aucun Schriftliche Begründung - Développement par écrit II faut autoriser les Kurdes irakiens à exporter le pétrole des puits qu'ils contrôlent au nord du 36e parallèle afin qu'ils puis- sent répondre à leurs besoins humanitaires les plus pres- sants. Appliqué aux Kurdes, l'embargo est une absurdité to- tale. Il y a une contradiction dans l'attitude actuelle de la com- munauté internationale, qui a d'une part prôné et appliqué le devoir d'ingérence humanitaire en Irak en faveur des popula- tions kurdes, et qui d'autre part ne donne pas à ces dernières la possibilité d'éviter les affres de l'embargo. Schriftliche Stellungnahme des Bundesrates vom 13. Mai 1992 Rapport écrit du Conseil fédéral du 13 mai 1992 Le pétrole irakien n'est plus soumis à l'embargo. Le Conseil de sécurité de l'ONU a adopté le 15 août 1991 une résolution, aux termes de laquelle l'Irak peut, sous contrôle et pour une pé- riode limitée d'abord à six mois, exporter du pétrole et des pro- duits pétroliers, à concurrence de 1,6 milliard de dollars. 70 pour cent de cette somme doivent être affectés à l'achat de biens de première nécessité, les 30 pour cent restants étant destinés à alimenter le fonds créé par l'ONU pour dédomma- ger les victimes de la guerre. Jusqu'ici, l'Irak s'est refusé à re- prendre ses exportations de pétrole à ces conditions. Les discussions entre l'ONU et l'Irak quant à ces conditions se poursuivent Si l'ONU décidait officiellement que le pétrole ex- trait en territoire kurde peut être exporté sans conditions, ces négociations, déjà délicates, pourraient pâtir de la décision. L'ONU ne veut pas non plus encourager une division du terri- toire irakien. Même sans autorisation officielle, il semble que du pétrole pro- venant de la partie kurde de l'Irak soit exporté vers la Turquie et l'Iran, en petite quantité certes, mais une quantité qui va croissant Selon les sources d'information, on parle de 2000 à 30 000 barils par jour. Les routes qui mènent à la Turquie doi- vent être réparées à cette fin. Il est aussi question de construire un pipe-line qui mènera à la Turquie. Le produit de la vente de ce pétrole doit être consacré à des projets de développement locaux.</w:t>
      </w:r>
    </w:p>
    <w:p>
      <w:r>
        <w:t>Schweizerisches Bundesarchiv, Digitale Amtsdruckschriften Archives fédérales suisses, Publications officielles numérisées Archivio federale svizzero, Pubblicazioni ufficiali digitali Interpellation Jeanprêtre Information über die Lage unserer Wirtschaft Interpellation Jeanprêtre Bilan de l'état de notre économie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92.3078 Numéro d'objet Numero dell'oggetto Datum 19.06.1992 - 08:00 Date Data Seite 1233-1234 Page Pagina Ref. No</w:t>
      </w:r>
    </w:p>
    <w:p>
      <w:r>
        <w:rPr>
          <w:b/>
        </w:rPr>
        <w:t>E. 20</w:t>
      </w:r>
    </w:p>
    <w:p>
      <w:r>
        <w:t>021 317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