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92.3062 vom 16. März 1992</w:t>
      </w:r>
    </w:p>
    <w:p>
      <w:r>
        <w:t>Bundesverwaltung, 1992-03-16, DE</w:t>
      </w:r>
    </w:p>
    <w:p>
      <w:r>
        <w:rPr>
          <w:b/>
        </w:rPr>
        <w:t xml:space="preserve">Quelle: </w:t>
      </w:r>
      <w:r>
        <w:t>https://mcp.opencaselaw.ch/entscheid/ch_vb_92.3062</w:t>
      </w:r>
    </w:p>
    <w:p>
      <w:r>
        <w:t>FR: CH_VB 92.3062 du 16 mars 1992</w:t>
      </w:r>
    </w:p>
    <w:p>
      <w:r>
        <w:t>IT: CH_VB 92.3062 del 16 marzo 1992</w:t>
      </w:r>
    </w:p>
    <w:p>
      <w:pPr>
        <w:pStyle w:val="Heading2"/>
      </w:pPr>
      <w:r>
        <w:t>Erwägungen</w:t>
      </w:r>
    </w:p>
    <w:p>
      <w:r>
        <w:rPr>
          <w:b/>
        </w:rPr>
        <w:t>E. 16</w:t>
      </w:r>
    </w:p>
    <w:p>
      <w:r>
        <w:t>mars 1992 sondern zur Verfügung stünden, um die Unterschriften zusam- menzubringen. Diese Regelung würde auch jenen Gruppen gerecht, die nicht genügend Geld und Personal und auch nicht die erforderliche Uebung haben, um die nötigen Unter- schriften zu sammeln, wenn man nur zwei Monate zur Verfü- gung hat und ein restlicher Monat für Ferien, überlastete Ge- meindekanzleien usw. verlorengeht M. Couchepin, chancelier de la Confédération: Mme Gardiol a dit que nous essayons défaire porter le chapeau à quelqu'un d'autre. J'ai l'habitude de porter mes propres chapeaux lors- que je les ai achetés moi-même. Je n'ai jamais dit, et je n'ai pas entendu, au cours de la confé- rence de presse, que nous ayons prétendu que la pression ve- nait soit des comités référendaires soit même de la presse. Je ne l'ai pas dit J'ai déclaré en revanche que nous étions effecti- vement curieux de connaître le résultat et que, compte tenu de l'hypothèse qu'on puisse éventuellement voter au mois de mai sur ce référendum s'il aboutissait, j'avais demandé à l'Office de la statistique s'il pouvait me fournir les résultats assez tôt Ce chapeau-là, je le porte, mais je ne me rappelle pas avoir tenté de le faire porter par quelqu'un d'autre. Il est exact que dans cette circonstance particulière des diffi- cultés spéciales ont été réunies: les fêtes, d'une part, et le nombre considérable de référendums, d'autre part, ont fait que, comme l'a signalé M. Dünki, il y a eu des difficultés au ni- veau des communes. Il n'en reste pas moins que la loi est claire pour le moment, il est possible qu'il faille en changer à la lumière des expériences faites - ce qui répond à la question de M. Gross Andréas - mais pour le moment elle est claire, nous ne pouvions pas prolonger les délais. Qu'auriez-vous pensé si, arrivant maintenant à la conviction qu'il y a au moins 50 051 signatures, on disait qu'il n'y en a que 51 de plus, donc que ça n'a pas abouti. De même, dans l'autre sens, il n'était pas possi- ble de prendre des libertés avec la loi: les chiffres sont précis, tout comme les délais, nous ne pouvions donc pas nous per- mettre des fantaisies dans ce domaine-là Lorsque les résultats ont été communiqués par l'Office fédéral de la statistique, conformément aux dispositions légales et dans le cadre du respect des droits des intéressés, j'ai trans- mis, par l'intermédiaire de mes services, les résultats auxquels nous arrivions avec les chiffres de l'Office de la statistique aux comités référendaires, et c'est à ce moment-là qu'effective- ment le comité d'Uri nous a signalé que selon ses calculs il ar- rivait à d'autres chiffres. Je le déplore avec vous, j'ai probable- ment été trop confiant, mais j'avais pensé que si, depuis 1874, l'Office de la statistique nous donnait des résultats corrects on pouvait préjuger qu'il avait encore une fois accompli son tra- vail comme il faut. Une erreur d'addition due à la maladie d'une personne a fait que 350 et quelques signatures n'ont pas été comptées. C'est précisément le but de la procédure qui consiste à consulter les intéressés, avant de prendre une décision sujette à recours, de déceler une éventuelle omis- sion. Je pense que nos institutions sont donc relativement bien faites qui ont justement permis de constater l'erreur assez tôt. Nous avons donc demandé un nouveau décompte, mais il ne s'agissait pas, comme je l'ai expliqué lors de la conférence de presse, d'un simple calcul, d'une simple addition. Il a fallu que les deux bureaux mis en place examinent, une à une, les 50 000 signatures pour voir si oui ou non elles étaient attes- tées correctement, si elles étaient conformes, si elles n'étaient pas apposées deux fois par la même main, s'il n'y avait pas des signatures apposées par la même personne sous plu- sieurs noms, etc. Je pense donc que, dans le cadre de cet inci- dent, que j'assume, nous avons fait ce qu'il fallait pour que les droits populaires soient strictement respectés. Lorsque vous prétendez, Madame, que l'on se moque du Par- lement en disant que l'on regrette les indiscrétions, je ne vois pas comment on peut affirmer une telle chose. Je pense au contraire que l'on vous ferait plutôt perdre du temps en es- sayant de vous expliquer les choses autrement Ces indiscré- tions ont eu lieu, nous les regrettons, nous ignorons malheu- reusement comment elles ont pu se produire, et nous espé- rons que l'enquête nous éclairera sur ce point. Mais aussi longtemps que je ne le sais pas, je ne vais pas commencer à dire des choses que j'ignore. En répondant à Mme Gardiol, je crois avoir également ré- pondu aux questions de MM. Thür et Gross Andréas. Les droits politiques et les délais qui sont actuellement fixés dans la loi pourraient être l'objet d'un réexamen dans le cadre de la révision de la loi sur les droits politiques et, sur la base des ex- périences acquises dans ce cas-là, je voudrais insister cepen- dant sur le fait que c'est la première fois depuis 1874 que nous nous trouvons dans une situation où quelques signatures peu- vent modifier le résultat. Heureusement, ces résultats ne sont pas toujours aussi serrés. Il ne faudra donc pas forcément adopter chaque fois une procédure aussi stricte. Lorsqu'il y a 10 000 ou 15 000 voix de différence et par conséquent moins de risques d'erreurs, on peut appliquer une procédure plus simple et moins coûteuse. #ST# 90.045 Militärversicherung. Bundesgesetz Assurance militaire. Loi Botschaft und Gesetzentwurf vom 27. Juni 1990 (BBIIII201) Message et projet de loi du 27 juin 1990 (FF II1189) Beschluss des Ständerates vom 3. Oktober 1991 Décision du Conseil des Etats du 3 octobre 1991 Kategorie III, Art. 68 GRN-Catégorie III, art 68RCN Antrag der Kommission Eintreten Proposition de la commission Entrer en matière Seiler Rolf, Berichterstatter: Wir werden uns Mühe geben, da- mit wir das Geschäft heute noch über die Bühne bringen. Ich möchte hier die Vorlage kurz vorstellen und anschliessend un- sere Arbeit in der Kommission schildern. Mit der Totalrevision des Bundesgesetzes überdie Militärversi- cherung will der Bundesrat vor allem drei Ziele erreichen: 1. eine weitgehende Angleichung an die übrigen Sozialversi- cherungen; 2. bestehende Versicherungslücken schliessen; 3. Ueberdeckungen oder Ueberversicherungen vermeiden. Zu Punkt 1, Angleichung an die übrigen Sozialversicherun- gen: Eine ganze Anzahl von Bestimmungen werden formell und zum Teil materiell an das Unfallversicherungsgesetz oder an die Gesetze über die AHV und IV angepasst Sie finden die vollständige Liste auf Seite 6 der Botschaft. Ich möchte nur auf die neu geregelte Rechtspflege hinweisen, weil diese immer wieder beanstandet wurde. Es wird vollumfänglich das mit dem UVG eingeführte Verwaltungsverfahren übernommen. Die Harmonisierung der verschiedenen Sozialversicherungen findet jedoch ihre Grenze bei den spezifischen Eigenschaften und Bedürfnissen der Militärversicherung. Die Militärversiche- rung ist eben nicht nur eine Sozialversicherung, sondern auch ein Instrument des Bundes zur Deckung von Schadenersatz- ansprüchen aus dem militärischen Betrieb. Es gilt also, im Mili- tärversicherungsrecht die Prinzipien des Haftpflichtrechts und des Sozialversicherungsrechts ergänzend einzusetzen. Mit der Vorlage und mit den Anträgen der Mehrheit wird dieses Ziel soweit als möglich erreicht. Zu Punkt 2 betreffend Schliessung von Lücken: Unter diesem Titel sind verschiedene Verbesserungen zu erwähnen - zum Teil auch in Erfüllung von parlamentarischen Vorstössen -, wie die Erhöhung der Bestattungsentschädigung, die Anpas- sung der Reise- und Bergungskosten an das UVG, der Ver- zicht auf Leistungskürzungen bei Grobfahrlässigkeit, der ein- heitliche Taggelder- und Rentenansatz von 95 Prozent, die wesentliche Verbesserung der Leistungen an Selbständig-</w:t>
      </w:r>
    </w:p>
    <w:p>
      <w:r>
        <w:t>Schweizerisches Bundesarchiv, Digitale Amtsdruckschriften Archives fédérales suisses, Publications officielles numérisées Archivio federale svizzero, Pubblicazioni ufficiali digitali Dringliche Interpellation der grünen Fraktion Fehler bei der Auszählung des Neat- Referendums Interpellation urgente du groupe écologiste Référendum sur la NLFA. Erreurs de dépouillement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08 Séance Seduta Geschäftsnummer 92.3062 Numéro d'objet Numero dell'oggetto Datum 16.03.1992 - 14:30 Date Data Seite 485-488 Page Pagina Ref. No</w:t>
      </w:r>
    </w:p>
    <w:p>
      <w:r>
        <w:rPr>
          <w:b/>
        </w:rPr>
        <w:t>E. 20</w:t>
      </w:r>
    </w:p>
    <w:p>
      <w:r>
        <w:t>021 024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