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92.3000 vom 2. Juni 1993</w:t>
      </w:r>
    </w:p>
    <w:p>
      <w:r>
        <w:t>Bundesverwaltung, 1993-06-02, DE</w:t>
      </w:r>
    </w:p>
    <w:p>
      <w:r>
        <w:rPr>
          <w:b/>
        </w:rPr>
        <w:t xml:space="preserve">Quelle: </w:t>
      </w:r>
      <w:r>
        <w:t>https://mcp.opencaselaw.ch/entscheid/ch_vb_92.3000</w:t>
      </w:r>
    </w:p>
    <w:p>
      <w:r>
        <w:t>FR: CH_VB 92.3000 du 2 juin 1993</w:t>
      </w:r>
    </w:p>
    <w:p>
      <w:r>
        <w:t>IT: CH_VB 92.3000 del 2 giugno 1993</w:t>
      </w:r>
    </w:p>
    <w:p>
      <w:pPr>
        <w:pStyle w:val="Heading2"/>
      </w:pPr>
      <w:r>
        <w:t>Erwägungen</w:t>
      </w:r>
    </w:p>
    <w:p>
      <w:r>
        <w:rPr>
          <w:b/>
        </w:rPr>
        <w:t>E. 2</w:t>
      </w:r>
    </w:p>
    <w:p>
      <w:r>
        <w:t>juin 1993 diese IV-Heime mit Bankkrediten verschulden müssen, nur da- mit sie die Zeit überbrücken können, bis die Ansprüche, die sie von der Invalidenversicherung zugute haben, dann auch aus- bezahlt werden. Abgeschrieben - Classé #ST# 92.3142 Motion Fasel Berufliche Vorsorge. Technischer Zinssatz Prévoyance professionnelle. Taux d'intérêt minimal Diskussion - Discussion Siehe Jahrgang 1992, Seite 2156 - Voir année 1992, page 2156 Präsident: Herr Fasel ist mit der Umwandlung in ein Postulat einverstanden. Herr Allenspach bekämpftauch das Postulat Allenspach: Die Motion Fasel enthält nicht zu überbrückende Widersprüche zwischen Titel, Motionstext und Motionsbe- gründung. Im Titel wird vom technischen Zinssatz gespro- chen. ImTextistvon Mindestverzinsung gemässArtikel 15Ab- satz 2 BVG bzw. Artikel 12 BW 2 die Rede. In der Begründung wird sodann sowohl vom «Mindestzinsfuss» als auch vom «technischen Zinssatz» gesprochen. Technischer Zinssatz und Mindestzinsfuss gemäss BVG sind zwei ganz verschie- dene Grossen, haben miteinander nichts zu tun und dienen ganz verschiedenen Aufgaben. Wenn wir einen Vorstoss als Motion oder als Postulat überweisen, dann sollte wenigstens aus Titel, Text und Begründung klarwerden, was der Vorstoss will, und er sollte nicht derartige Widersprüche enthalten. Der technische Zinssatz als interne Grosse der versiche- rungstechnischen Bilanz hat mit den effektiven Zinserträgen nichts zu tun und ist unabhängig vom jeweiligen Zinsniveau. Die Vorsorgeeinrichtungen verwenden heute technische Zins- sätze zwischen 3 und 5 Prozent. Im Rahmen des Freizügig- keitsgesetzes, das wir im Dezember 1992 in diesem Rat bera- ten haben, haben wir - ohne Diskussion und ohne Gegen- stimme - beschlossen, dass der Bundesrat eine Bandbreite von mindestens 1 Prozent für die von den Vorsorgewerken frei zu wählenden technischen Zinssätze festzulegen habe. Wir haben es also vor sechs Monaten ausdrücklich abgelehnt, den technischen Zinssatz zu vereinheitlichen. Die Motion Fasel würde, wenn sie sich auf den technischen Zinssatz beziehen würde, diese Vereinheitlichung des techni- schen Zinssatzes verlangen. Wenn also gemäss Titel und Be- gründung der technische Zinssatz gemeint ist, dann steht die- ser Vorstoss in klarem Widerspruch zu unseren Beschlüssen im Freizügigkeitsgesetz und müsste abgelehnt werden. Die Begründung dazu haben die damaligen Kommissionsspre- cher, Frau Brunner Christiane und Herr Deiss, am 9. Dezem- ber 1992 in diesem Rat gegeben. Im Text der Motion spricht Herr Fasel dann aber plötzlich nicht mehr vom technischen Zinssatz, sondern vom Mindestzins- satz gemäss Artikel 12 BW 2. Damit ist der Zinssatz gemeint, mit dem das während der aktiven Erwerbszeit obligatorisch gebildete Alterskapital rechnerisch aufgezinst werden muss. Dieser Mindestzinssatz beträgt gemäss BW 2 zurzeit 4 Pro- zent und gilt nurfür das BVG-Obligatorium. Der Bundesrat besitzt keine Rechtsgrundlage, die es gestat- ten würde, diesen Mindestzinssatz in der ausserobligatori- schen Vorsorge vorzuschreiben. Dazu bedürfte es einer vor- gängigen Aenderung des Bundesgesetzes über die berufli- che Alters-, Hinterlassenen-und Invalidenvorsorge (BVG). Die Motion verlangt aber vom Bundesrat ausdrücklich die Aus- dehnung der Vorschriften über die Mindestverzinsung des BVG-Obligatoriums auch auf den ausserobligatorischen Be- reich, und sie verlangt damit vom Bundesrat ein Handeln ohne gesetzliche Grundlage. Aber selbst mit einer gesetzlichen Grundlage wäre eine solche Vorschrift wenig wirksam. Eine Vorschrift über die Mindestverzinsung kann sich nur bei den Beitragsprimatkassen auswirken. Bei all jenen Vorsorgewer- ken, die die Renten in Prozenten des Lohnes festlegen, sind überhaupt keine Vorschriften über die Mindestverzinsung sinnvoll und möglich. Die Mehrheit der bestehenden, bedeu- tenden Vorsorgewerke sind Leistungsprimatkassen, und da- mit würde das Begehren des Motionärs, die Mindestverzin- sung auch im überobligatorischen Bereich vorzuschreiben, mehr zur Verwirrung und zur Verunsicherung der Vorsorge- werke beitragen als zur Klärung. Vorschriften über die Mindestverzinsung haben mit den effek- tiven Zinserträgen wenig zu tun. Auch bei tiefem Mindestzins- fuss sind die Vorsorgeeinrichtungen gehalten, optimale Zins- erträge auf den Kapitalanlagen der Vorsorgewerke zu erzielen. Solange der Markt höhere Zinserträge gibt, sind Anlagen zum Mindestzinssatz verboten. Ein tiefer Mindestzinssatz entzieht also weder den Vorsorge- werken noch den Destinatären der Vorsorgewerke auch nur einen Franken. Die Differenz zwischen dem Mindestzinsfuss und den effektiv erzielten Zinsen wird von den meisten Pensi- onskassen für die Finanzierung des Teuerungsausgleichs auf den laufenden Renten oder für die Anpassung der Vorsorge- pläne an die steigende Lebenserwartung verwendet Ständen dafür keine Finanzierungsquellen mehr zur Verfügung, dann müsste auf die Ausrichtung von Teuerungszulagen verzichtet werden, oder es müssten höhere Beiträge dafür bezahlt werden. Derzeit wird eine Revision des BVG vorbereitet. Die Frage der Teuerungszulage ist der wesentliche Punkt in dieser Revision. Mit einer Heraufsetzung des Mindestzinsfusses auf minde- stens 4,5 Prozent könnte die Frage des Teuerungsausgleichs beim BVG nach Meinung der meisten Experten überhaupt nicht mehr zufriedenstellend angegangen werden. Abschliessend wäre noch zu bemerken: Bei Neuanlagen ist heute der effektiv erzielte Zinsertrag oftmals nicht mehr we- sentlich höher als 4,5 Prozent, insbesondere dann, wenn die wenig ertragreichen liquiden Mittel einer Pensionskasse be- 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