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92.081 vom 7. Juni 1993</w:t>
      </w:r>
    </w:p>
    <w:p>
      <w:r>
        <w:t>Bundesverwaltung, 1993-06-07, DE</w:t>
      </w:r>
    </w:p>
    <w:p>
      <w:r>
        <w:rPr>
          <w:b/>
        </w:rPr>
        <w:t xml:space="preserve">Quelle: </w:t>
      </w:r>
      <w:r>
        <w:t>https://mcp.opencaselaw.ch/entscheid/ch_vb_92.081</w:t>
      </w:r>
    </w:p>
    <w:p>
      <w:r>
        <w:t>FR: CH_VB 92.081 du 7 juin 1993</w:t>
      </w:r>
    </w:p>
    <w:p>
      <w:r>
        <w:t>IT: CH_VB 92.081 del 7 giugno 1993</w:t>
      </w:r>
    </w:p>
    <w:p>
      <w:pPr>
        <w:pStyle w:val="Heading2"/>
      </w:pPr>
      <w:r>
        <w:t>Erwägungen</w:t>
      </w:r>
    </w:p>
    <w:p>
      <w:r>
        <w:rPr>
          <w:b/>
        </w:rPr>
        <w:t>E. 7</w:t>
      </w:r>
    </w:p>
    <w:p>
      <w:r>
        <w:t>Juni1993 393 Swisslex Konsumkreditgesetz geprüft haben. Für mich ist es kein Abschalten der parlamen- tarischen Kontrolle, sondern eine Frage des Masses und der Rücksicht auf den Ernst der jeweiligen Lage. Bundesrat Koller: Ich kann mich kurz fassen. Der Bundesrat ist mit diesem Leitbild vollständig einverstanden. Wir haben die Bildung dieser Geschäftsprüfungsdelegation nach den unerfreulichen Ereignissen immer sehr begrüsst, ja sogar un- geduldig erwartet. Wir sind jetzt froh, dass wir in ihr wirklich ei- nen Gesprächspartner haben-selbstverständlich in Respekt, wie Herr Danioth ausgeführt hat, der je eigenen Verantwor- tung, also auf der einen Seite des Bundesrates, auf der ande- ren Seite Ihrer Geschäftsprüfungsdelegation. Wir sind bereit, die Weisungen im Sinne der Anmerkungen zu überprüfen. Der Bundesrat nimmt jetzt alljährlich eine Lagebe- urteilung vor. Er bestimmt auch jedes Jahr neu die soge- nannte Positivliste, in welche die Geschäftsprüfungsdelega- tion auch Einsicht hat. Wir werden bei dieser Gelegenheit auch Ihre diesbezüglichen Anregungen gerne erwägen und Ihnen dann Bericht erstatten. Recht herzlichen Dank für die bisherige gute Zusammenarbeit in diesem sehr heiklen Bereich staatlicher Tätigkeit. Huber: Ich bin mit der Interpretation, die Herr Danioth hier ge- geben hat, nicht einverstanden. Ich glaube aber, dass die Diskussion darüber nicht jetzt ge- führt werden soll. Wir haben eine Neuordnung der Verantwor- tung bezüglich dieser Nachrichtendienste wegen der Unter- stellung unter den Oberbefehlshaber, der seinerseits nachher gegenüber der Bundesversammlung verantwortlich ist und sich mildem Bundesrat auseinandersetzt Ich werde das Thema in der Sicherheitspolitischen Kommis- sion traktandieren lassen; wir werden es dort behandeln und allenfalls unsererseits dazu Stellung nehmen. Antrag der Kommission Kenntnisnahme vom Bericht Proposition de la commission Prendre acte du rapport Angenommen -Adopté An den Nationalrat-Au Conseil national #ST# 93.110 Folgeprogramm nach der Ablehnung des EWR-Abkommens (Swisslex) Konsumkredit. Bundesgesetz Programme consécutif au rejet de l'Accord EEE (Swisslex) Crédit à la consommation. Loi fédérale Differenzen - Divergences Siehe Seite 202 hiervor - Voir page 202 ci-devant Beschluss des Nationalrates vom 28. April 1993 Décision du Conseil national du 28 avril 1993 Art. 20 Antrag der Kommission Streichen Antrag Schmid Carlo Der Bund regelt die Konsumkreditverträge abschliessend. Art. 20 Proposition de la commission Biffer Proposition Schmid Carlo La Confédération règle les contrats de crédit à la consomma- tion de manière définitive. Jagmetti, Berichterstatter: Beim Konsumkreditgesetz ist noch der Artikel 20 am Schluss des Gesetzes umstritten, der selbst- verständlich in der redaktionellen Bereinigung eine andere Nummer erhalten würde. Die Frage ist die, ob die bundesrechtliche Ordnung abschlies- send sein soll oder ob es für eine ergänzende kantonale Ord- nung Platz hat. Im Bereiche des Privatrechts, dem dieses Bun- desgesetz in erster Linie zuzuordnen ist, bleibt für kantonale Vorschriften nur dort Platz, wo der Kanton dazu ermächtigt wird. Eine solche Delegation an die Kantone sieht keiner der Anträge vor. Im Bereiche des öffentlichen Rechts aber können die Kantone Vorschriften erlassen, soweit der Bund den betreffenden Sachbereich nicht abschliessend geregelt hat; darum geht es hier. Der Nationalrat hat eine Bestimmung eingebaut, wonach der Bund die Konsumkreditverträge abschliessend regelt; er hat aber den Artikel 73 Absatz 2 des Obligationenrechts vor- behalten, der wie folgt lautet: «Dem öffentlichen Rechte bleibt es vorbehalten, Bestimmungen gegen Missbräuche im Zins- wesen aufzustellen.» Der Ständerat hat letztes Mal keine sol- che Bestimmung aufgenommen. Die Kommission für Wirt- schaft und Abgaben schlägt Ihnen vor, die vom Nationalrat be- schlossene Bestimmung zu streichen. Das hätte zur Konse- quenz, dass die Kantone im öffentlich-rechtlichen Bereich er- gänzende Vorschriften aufstellen könnten, sowohl über den Zins wie über andere Fragen des Schutzes vor allem der Kre- ditnehmer. Herr Schmid Carlo hat schliesslich einen Antrag gestellt, die Bestimmung so zu fassen, dass der Bund die Konsumkredit- verträge abschliessend regelt, so dass für die Kantone kein Raum für Höchstzinsvorschriften bleibt, wenn ich ihn richtig verstanden habe. Mit anderen Worten: Es liegen Ihnen drei Anträge vor: Der Na- tionalrat will keine ergänzenden Vorschriften ausser über den Höchstzins; die WAK will ergänzende Vorschriften, auch für den Höchstzins, und Herr Schmid Carlo will keine ergänzen- den Vorschriften, auch nicht über den Höchstzins. Nun kann man sich fragen, welche dieser drei Lösungen die zweckmässige sei. Die Kommission für Wirtschaft und Abga- ben ist der Meinung, dass den Kantonen sowohl beim Höchst- zins wie bei anderen Fragen Raum für ergänzende Vorschrif- ten bleiben soll. Die Kommission nimmt an, dass ein ergän- zendes Schutzbedürfnis je nach Situation im Kanton vorhan- den sein kann, sozialpolitische Ueberlegungen also zu einem Ausbau der Vorschriften, die der Bund erlassen hat, führen können. Demgegenüber besteht - insbesondere auch in Wirtschafts- kreisen - die Auffassung, es gebe in der Schweiz nicht 26 Wirt- schaftsräume, sondern einen einzigen und man solle deshalb die bundesrechtliche Ordnung so ausgestalten, wie sie von uns beschlossen worden ist, und auf diesem Weg dem Schutzbedürfnis Rechnung tragen. Die Kommission für Wirtschaft und Abgaben hat ihren Be- schluss nicht einstimmig gefasst, aber mit einem Mehrheits- entscheid. Sie beantragt Ihnen, diese Bestimmung, wie sie der Nationalrat beschlossen hat, nicht aufrechtzuerhalten; dieser Antrag kam mit 7 zu 4 Stimmen zustande. Ueber den Antrag von Herrn Schmid Carlo hatte die Kommission nicht zu ent- scheiden. Namens der Kommission für Wirtschaft und Abgaben emp- fehle ich Ihnen, Artikel 20 zu streichen und damit den Kanto- nen die Möglichkeit zu lassen, unter sozialpolitischen Ge- sichtspunkten öffentlich-rechtliche Vorschriften über die Kon- sumkreditverträge aufzustellen und namentlich, aber nicht ausschliesslich den Höchstzins festzusetzen.</w:t>
      </w:r>
    </w:p>
    <w:p>
      <w:r>
        <w:t>Schweizerisches Bundesarchiv, Digitale Amtsdruckschriften Archives fédérales suisses, Publications officielles numérisées Archivio federale svizzero, Pubblicazioni ufficiali digitali Geschäftsprüfungsdelegation. Leitbild Délégation des Commissions de gestion. Lignes directrices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05 Séance Seduta Geschäftsnummer 92.081 Numéro d'objet Numero dell'oggetto Datum 07.06.1993 - 17:15 Date Data Seite 391-393 Page Pagina Ref. No 20 023 038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