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 vom 24. August 1992</w:t>
      </w:r>
    </w:p>
    <w:p>
      <w:r>
        <w:t>Bundesverwaltung, 1992-08-24, DE</w:t>
      </w:r>
    </w:p>
    <w:p>
      <w:r>
        <w:rPr>
          <w:b/>
        </w:rPr>
        <w:t xml:space="preserve">Quelle: </w:t>
      </w:r>
      <w:r>
        <w:t>https://mcp.opencaselaw.ch/entscheid/ch_vb_92.057</w:t>
      </w:r>
    </w:p>
    <w:p>
      <w:r>
        <w:t>FR: CH_VB 92.057 du 24 août 1992</w:t>
      </w:r>
    </w:p>
    <w:p>
      <w:r>
        <w:t>IT: CH_VB 92.057 del 24 agosto 1992</w:t>
      </w:r>
    </w:p>
    <w:p>
      <w:pPr>
        <w:pStyle w:val="Heading2"/>
      </w:pPr>
      <w:r>
        <w:t>Erwägungen</w:t>
      </w:r>
    </w:p>
    <w:p>
      <w:r>
        <w:rPr>
          <w:b/>
        </w:rPr>
        <w:t>E. 24</w:t>
      </w:r>
    </w:p>
    <w:p>
      <w:r>
        <w:t>August 1992 641 EWR. Anpassung des Bundesrechts (Eurolex) nuar 1993 von diesem EWR-Recht profitieren können. Ich werde nachher noch darauf zurückkommen. Das Eurolex-Pro- gramm bringt in vielfacher Hinsicht Verbesserungen unserer Rechtsordnung, die unsere Mitbürgerinnen und Mitbürger tat- sächlich ab nächsten Januar geniessen können. 3. Als weitere Leitplanke für Eurolex haben wir das Prinzip der Vertragstreue vorgegeben. Sie wissen, die Schweiz war in den langwierigen und harten Verhandlungen mit der Europäi- schen Gemeinschaft über das EWR-Abkommen kein beque- mer Verhandlungspartner. Es gab sogar kritische Bemerkun- gen anderer Rechtsstaaten wegen der harten Verteidigung un- serer Position. Wir haben das mit gutem Grund getan, und wir werden es auch künftig so halten; aber wir können das nur un- ter der Voraussetzung tun, dass wir bereit sind, jene Verpflich- tungen, die wir in diesen harten Verhandlungen schliesslich eingegangen sind, zu erfüllen. Wir haben das Prinzip «pacta sunt servanda» (Verträge sind einzuhalten) immer grossge- schrieben, und der Bundesrat ist überzeugt, dass die Vertrags- treue gerade für einen Kleinstaat wie die Schweiz keine unbe- queme Last ist, sondern ein Schutz gegen Machtanmassung und Willkür der Grossen. Es liegt also in unserem ureigensten Interesse, wenn wir uns beim EWR-Abkommen tatsächlich um Vertragstreue bemühen. 4. Als weitere Leitplanke haben wir vorgegeben, dass wir im Rahmen der Uebernahme des EWR-Rechts in unsere eigene Rechtsordnung die Kompetenzausscheidung zwischen Bund und Kantonen nicht abändern. Wir halten uns an die föderali- stische Kompetenzordnung unseres Staates. Glücklicher- weise haben wir zusammen mit den Kantonen im Kontaktgre- mium sehr frühzeitig die föderalistischen Auswirkungen des EWR-Abkommens auf die Kantone behandelt Die Zusam- menarbeit im Kontaktgremium hat sich sehr bewährt, und wir können daher mit gutem Grund darauf vertrauen, dass die Kantone die Anpassungen ihres Rechts ebenfalls realisieren werden - so, wie wir die Anpassungen des Bundesrechts vor- nehmen. 5. Schliesslich war - darauf haben hier mehrere Berichterstat- ter hingewiesen - das Kriterium der Notwendigkeit ein zentra- les Leitmotiv für Eurolex Der Bundesrat hat nur jene Rechtsän- derungen in diese Vorlagen aufgenommen, die in zeitlicher und materieller Hinsicht für die Realisierung des EWR-Abkom- mens unbedingt notwendig sind, d. h., wir haben keine Rechtsänderungen vorgesehen, wo es Uebergangsfristen gibt Wo wir nur einjährige Uebergangsfristen haben, werden wir Ihnen rechtzeitig - das wird schon nächstes Jahr der Fall sein - die nötigen Gesetzesanpassungen unterbreiten. In sachlicher Hinsicht haben wir uns auch bemüht, in die Euro- lex-Vorlagen wirklich nur das aufzunehmen, was durch den EWR-Vertrag zwingend vorgeschrieben ist. Ich habe aber schon bei der öffentlichen Präsentation der Eurolex-Vorlagen ausdrücklich darauf aufmerksam gemacht, dass es hier natür- lich Grenzfälle gibt. Vor allem gibt es Grenzfälle im Bereich der Sanktionen. Das EWR-Recht schreibt mit Ausnahme des Wett- bewerbsrechts praktisch nirgends vor, mit welchen Sanktio- nen wir die materiellrechtlichen Normen durchsetzen sollen und müssen. Deshalb lag hiervon Anfang an eine Ermessens- frage vor: Wollen wir uns mit zivilrechtlichen Sanktionen be- gnügen, oder wollen wir allenfalls auch strafrechtliche Sanktio- nen einsetzen? Wir haben nach dem Prinzip der Kohärenz der Rechtsordnung gehandelt Ueberall dort, wo im bereits beste- henden Recht- im UWG und analogen Gesetzen -sowohl zi- vilrechtliche wie strafrechtliche Sanktionen vorgesehen sind, sehen wir auch in den Eurolex-Vorlagen zivilrechtliche und strafrechtliche Sanktionen vor. Wir sind uns aber bewusst, dass dies eine Ermessensfrage ist, und haben auch zur Kennt- nis genommen, dass einzelne Kommissionen diese Frage im Sinne des absoluten Minimums dahingehend entschieden haben, dass nur zivilrechtliche Sanktionen vorzusehen sind. Im übrigen gehörte zu diesen angekündigten Grenzfällen auch ein Problem, das jetzt politisch besonders umstritten ist, nämlich die Umsetzung der Richtlinie der Europäischen Ge- meinschaft über die Freisetzung gentechnisch veränderter Or- ganismen. Dazu haben uns die Fachleute des Buwal damals gesagt, das mache nur Sinn, wenn man gleichzeitig auch die natürlichen Erreger in die Eurolex-Vorlage aufnehme. Wie Ih- nen Herr Huber berichtet hat, hat Ihre Kommission nun anders entschieden und sich auch hier auf das absolut zwingende Mi- nimum, auf die gentechnisch veränderten Organismen, be- schränkt Darüber kann man unterschiedlicher Meinung sein, und es liegt selbstverständlich in der Kompetenz des Parla- mentes, solche Ermessensentscheide zu treffen. Erlauben Sie mir nach diesen Ausführungen auch eine inhaltli- che Beurteilung von Eurolex Man hat in der öffentlichen Dis- kussion wiederholt gesagt, wir hätten juristischen Perfektionis- mus betrieben. Mit diesen Eurolex-Vorlagen spiele sich die Schweiz einmal mehr zum Musterschüler von ganz Europa auf. Ich glaube, Sie haben unterdessen gesehen und gehört, dass das eindeutig nicht der Fall ist Wir haben Ihnen keine ein- zige Vorlage präsentiert, die zur Umsetzung des EWR-Abkom- mens nicht nötig wäre, und wir wissen heute auch, dass alle anderen Efta-Staaten diese Umsetzungsaufgabe genauso ernst nehmen wie wir, sowohl in sachlicher wie in zeitlicher Hinsicht Die Parlamente aller anderen Efta-Staaten leisten die gleiche ausserordentliche Gesetzgebungsarbeit, um auf den 1. Januar 1993 diese Adaptation ihres nationalen Rechts reali- siert zu haben. Dabei haben wir festgestellt, dass in mehreren Ländern bedeutend mehr Gesetze geändert werden als in un- serem Land. Ich gebe zu: Der Acquis communautaire, den wir zu überneh- men haben, ist eine sehr, sehr grosse Rechtsmasse. Was uns diese Uebernahme wesentlich erleichtert, ist, dass es sich beim EG-Recht um wertverwandtes Recht handelt. Es ist kein uns fremder Rechtskörper, der uns quasi Exotisches aufzwin- gen würde, sondern wir übernehmen hier Recht, das in den entscheidenden Wertungen weitestgehend unseren eigenen rechtspolitischen Ueberzeugungen entspricht: Das Eurolex-Programm wird uns einerseits mehr Wettbewerb und Deregulierung bringen. Wir sind uns ja alle einig, dass wir, wenn wir die Wettbewerbsfähigkeit unseres Landes erhalten wollen, ganz unabhängig vom EWR-Abkommen in unserer Wirtschaft mehr Wettbewerb realisieren müssen. Eurolex wird uns sodann einen verbesserten Konsumenten- schutz bringen. Ich erwähne als Beispiele das Konsumkredit- gesetz, den Pauschalreisevertrag oder den Versicherungsver- trag. In sozialer Hinsicht steht die Verbesserung der Stellung des Arbeitnehmers im Vordergrund. Ich erinnere an die Vor- schriften über die Massenentlassung und über die betriebli- che Mitwirkung. Eurolex wird uns auch eine bessere Gleich- stellung von Mann und Frau bringen. Gesamthaft kann man daher sagen, dass Eurolex, dieses Ge- meinschaftsrecht, das wir zu übernehmen haben, uns ein Wettbewerbs-, konsumenten-, arbeitnehmer- und frauen- freundlicheres Recht bringen wird. Gerade dies ist es, was wir auch in unserem eigenen Recht als unbedingt notwendig er- achten. Ich gebe gerne zu - Herr Zimmerli hat darauf angespielt -, dass wir in fast nostalgischer Erinnerung an Eugen Huber gerne einiges etwas kürzer, mit weniger Regelungsdichte rea- lisieren würden. Das ist der Preis, den auch wir für diese Rechtsharmonisierung zu zahlen haben. Inhaltlich aber wer- den uns EWR-Abkommen und Eurolex in einer viel kürzeren Zeit, als das ohne das EWR-Abkommen möglich wäre, eine Reform unserer eigenen Rechtsordnung ermöglichen; dar- über sind wir uns, so glaube ich, alle einig. Deshalb ist der Bundesrat überzeugt, dass EWR-Abkommen und Eurolex auch eine grosse Chance für die innere Reform unseres Staa- tes sind und dass dies alles keineswegs nur eine juristische Pflichtübung ist In diesem Sinne beantrage ich Eintreten auf die Vorlagen. Präsidentin: Gestützt auf eine Anregung von Herrn Robert Bühler haben wir veranlasst, dass Ihnen möglichst umgehend ein Vorabzug des Amtlichen Bulletins mit den bisher gehalte- nen Voten verteilt wird.</w:t>
      </w:r>
    </w:p>
    <w:p>
      <w:r>
        <w:t>Schweizerisches Bundesarchiv, Digitale Amtsdruckschriften Archives fédérales suisses, Publications officielles numérisées Archivio federale svizzero, Pubblicazioni ufficiali digitali EWR. Anpassung des Bundesrechts (Eurolex) EEE. Adaptation du droit fédéral (Eurolex)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01 Séance Seduta Geschäftsnummer 92.057 Numéro d'objet Numero dell'oggetto Datum 24.08.1992 - 15:00 Date Data Seite 633-641 Page Pagina Ref. No 20 021 524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