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92.057-9 vom 25. August 1992</w:t>
      </w:r>
    </w:p>
    <w:p>
      <w:r>
        <w:t>Bundesverwaltung, 1992-08-25, DE</w:t>
      </w:r>
    </w:p>
    <w:p>
      <w:r>
        <w:rPr>
          <w:b/>
        </w:rPr>
        <w:t xml:space="preserve">Quelle: </w:t>
      </w:r>
      <w:r>
        <w:t>https://mcp.opencaselaw.ch/entscheid/ch_vb_92.057-9</w:t>
      </w:r>
    </w:p>
    <w:p>
      <w:r>
        <w:t>FR: CH_VB 92.057-9 du 25 août 1992</w:t>
      </w:r>
    </w:p>
    <w:p>
      <w:r>
        <w:t>IT: CH_VB 92.057-9 del 25 agosto 1992</w:t>
      </w:r>
    </w:p>
    <w:p>
      <w:pPr>
        <w:pStyle w:val="Heading2"/>
      </w:pPr>
      <w:r>
        <w:t>Erwägungen</w:t>
      </w:r>
    </w:p>
    <w:p>
      <w:r>
        <w:rPr>
          <w:b/>
        </w:rPr>
        <w:t>E. 25</w:t>
      </w:r>
    </w:p>
    <w:p>
      <w:r>
        <w:t>August 1992 669 Eurolex. Alkoholgesetz notwendig ist, um im Spirituosengewerbe, in der Landwirt- schaft, im Naturschutz und in der Bundeskasse Unheil zu ver- meiden. Schallberger: Bei der Propaganda zugunsten des EWR-Ver- trages wird immer wieder ganz besonders deutlich hervorge- hoben, die Landwirtschaftspolitik sei ausgeklammert. Ein Bauer, der den Anbau von Kirschen, Mostobst oder Zwetsch- gen als wichtigen Betriebszweig betreibt, hat diesen Eindruck überhaupt nicht. Der Kirschenbauer in Wölflinswil im Fricktal, in Holstein im Baselbieter Waldenburgertal, auf dem Steiner- berg im Kanton Schwyz oder in Unterägeri im Zugerländli wird durch die beantragte Steuerharmonisierung gegenüber der Konkurrenz im Ausland massiv schlechtergestellt Das theoretische Ziel, Wettbewerbsverzerrungen und Diskri- minierungen im europäischen Produktionsraum auszuschal- ten, wird in der Praxis ins Gegenteil verkehrt. Das höhere Lohn- niveau in der Schweiz und weitere Nachteile wie teurere Bo- denpreise und höhere Verschuldung, zum Teil aber auch kli- matische Nachteile, vor allem aber die Tatsache, dass wir im Feldobstbau überwiegend mit Hochstämmen produzieren, bringen uns höhere Produktionskosten. Uebrigens haben auch unsere gewerblichen Verwertungsbetriebe vergleich- bare Probleme. Den Ausgleich brachten bisher die abgestuf- ten Steuersätze. Mit der Harmonisierung der Steuersätze ist die Schweizer Produktion gegenüber Importerzeugnissen deutlich benachteiligt. Der Hochstamm-Feldobstbau ist tatsächlich in Gefahr. Kein Schweizer möchte unsere landschaftsprägenden Obstbäume missen. Unsere Carunternehmer möchten trotz EWR auch in Zukunft Blustfahrten organisieren können. Doch die frühmor- gens zwitschernden Vögel - auch sie möchten wir nicht ver- treiben - bringen dem Obstbauern nicht das für seine Existenz notwendige Entgelt Ein massiver Preisdruck auf Stein- und Kernobst ist vorprogrammiert Ohne Ausgleich werden sehr, sehr viele Obstbäume fallen. Ich habe in der Kommission die Frage aufgeworfen, wie der Bundesrat die durch die Aufhebung der sogenannten Diskri- minierung neu geschaffene Diskriminierung der Inlandpro- duktion auszugleichen gedenkt Ich habe Verständnis gefun- den, dafür danke ich. Aber konkrete Vorstellungen bestanden damals noch nicht. Ich frage Sie, ob in der Zwischenzeit eine Lösung des Problems gefunden wurde. Wir dürfen nicht zu- warten und erst dann politische Feuerwehrübungen veranstal- ten, wenn das zu befürchtende grosse Abholzen der Kirsch-, Birn- und Apfelbäume bereits geschehen ist Frau Simmen: Es ist ganz klar, dass der springende Punkt bei dieser Gesetzesänderung die Aufhebung der unterschiedli- chen Besteuerungen von ausländischen und inländischen Branntweinen ist Und es ist auch klar, dass diese diskriminie- rende Behandlung unter einem EWR-Regime aufgehoben werden muss. Damit ist über die Höhe des Steuersatzes natür- lich noch nichts gesagt Wo dieser Einheitssteuersatz zu lie- gen kommt, das steht im Ermessen des Bundesrates. Und wo auch immer er festgelegt ist, es ändert nichts an der Tatsache, dass inländische schweizerische Branntweine teurer und aus- ländische billiger werden. Um diese bittere Pille kommen wir so oder anders nicht herum. Aber die Höhe des Steuersatzes hat natürlich verschiedenste Gesichtspunkte und Auswirkungen. Einmal gesundheitspoliti- sche: Wie hoch soll man gebrannte Wasser besteuern? Land- wirtschaftspolitische: Wie sieht es mit den Rohstoffen - mit in- ländischen und importierten - aus, die gebrannt werden? Und nicht zuletzt sind es finanzpolitische Auswirkungen, indem je nachdem mehr oder weniger Geld zur Verfügung steht Ein Blick über die Grenze zeigt, dass auch im Ausland die ge- brannten Wasser ganz ausserordentlich unterschiedlich be- steuert werden. Das reicht von einem Satz von Fr. 4.90 in Grie- chenland bis zu 427 Franken in Schweden. Es stimmt, dass unsere Anrainerstaaten in etwa bei einem Steuersatz von</w:t>
      </w:r>
    </w:p>
    <w:p>
      <w:r>
        <w:rPr>
          <w:b/>
        </w:rPr>
        <w:t>E. 27</w:t>
      </w:r>
    </w:p>
    <w:p>
      <w:r>
        <w:t>Stimmen Für den Antrag der Kommission 7 Stimmen Abs. 2-AI. 2 Angenommen -Adopté Art. 23a Antrag der Kommission Zustimmung zum Entwurf des Bundesrates Antrag Reymond Abs. Ibis (neu) Die Steuer auf vergorenen weinhaltigen Getränken mit oder ohne Zusatz von gebrannten Wassern und höchstens 22 Volu- menprozenten Alkohol wird um 50 Prozent ermässigt. Antrag Simmen Abs. Ibis (neu) Der Bundesrat kann die Steuer um bis zu 50 Prozent ermässi- gen für vergorene weinhaltige Getränke mit oder ohne Zusatz von gebrannten Wassern und höchstens 22 Volumenprozen- ten Alkohol. Art. 23a Proposition de la commission Adhérer au projet du Conseil fédéral Proposition Reymond Al. Ibis (nouveau) L'impôt sur les boissons fermentées à base de vin avec ou sans adjonction de boissons distillées et titrant au maximum 22 pour cent du volume d'alcool est réduit de 50 pour cent Proposition Simmen Al. Ibis (nouveau) Le Conseil fédéral peut réduire au maximum de 50 pour cent l'impôt sur les boissons fermentées à base de vin avec ou sans adjonction de boissons distillées et titrant au maximum 22 pour cent d'alcool. M. Reymond, rapporteur: Le premier alinéa de cet article rè- gle l'imposition des produits alcoolisés. Cette catégorie com- prend les boissons et les produits alimentaires solides addi- tionnés de boissons distillées, ainsi que le vermouth, les spé- cialités de vin, les vins doux et les vins naturels titrant plus de 15 degrés d'alcool. Ici aussi, la même charge fiscale est pré- vue pour les vins suisses et les vins étrangers. Voilà pour l'ensemble de l'article, auquel viennent s'ajouter la proposition de Mme Simmen et celle que j'avais moi-même déposée, similaire et acceptée d'ores et déjà dans le débat d'entrée en matière par M. Stich, conseiller fédéral. Si des questions sont soulevées, je suis prêt à donner les argu- ments prouvant que cet alinéa 1 bis doit être ajouté à l'article 23. Le refus de la proposition de Mme Simmen, ou de la mienne, provoquerait un renchérissement de 352 pour cent des produits du type vermouth, par exemple, ou des «Alpen- bitter» pour citer des produits nationaux. Frau Simmen: Der heutige Stand der Dinge ist so, dass auf- grund von Staatsverträgen solche Erzeugnisse mit 50 Prozent Ermässigung besteuert werden. Der Vorschlag von Herrn Kol- lege Reymond geht nun dahin, diese heute gültige Regelung im Gesetz zu verankern. Vom EWR-Recht her gesehen ist das nicht zwingend, denn im Vorschlag vom 21. Dezember 1990 für eine Richtlinie steht, dass auf solche Zwischenerzeug- nisse, wie sie dort genannt werden, ein reduzierter Satz ange- wendet werden kann, unter der Voraussetzung unter ande- rem, dass er den normalen nationalen Verbrauchersatz um nicht mehr als 50 Prozent unterschreiten darf. Der Bundesrat verzichtet in der Fassung, wie Sie sie auf der Fahne haben, stillschweigend auf diese Kompetenz. Das heisst, er ist EWR-konform, indem er den Steuersatz um 0 Pro- zent senkt Das ist die eine Möglichkeit. Die andere schlägt Herr Reymond vor, nämlich die Möglichkeit, voll auszuschöp- fen und auf die Reduktion von 50 Prozent zu gehen. In dieser Situation möchte ich Ihnen aus zwei Gründen einen Vermitt- lungsantrag stellen: Zum einen haben wir aus gesundheitspolitischen Gründen kein Interesse an einer allzu grossen Verbilligung alkoholi- scher Getränke. Das war auch der eine Grund, weshalb dieser Artikel 23a Absatz 2 (neu) in der zweiten, gedruckten Fassung von Eurolex nicht mehr zu finden ist. Zweiter Grund: der finanzpolitische. Der Verzicht auf eine 100- Prozent-Besteuerung führt ganz klar zu Ausfällen, und dies in einer Zeit, wo wir für flankierende Massnahmen zum Beispiel in der Landwirtschaft auf Einnahmen aus der Besteuerung des Alkohols angewiesen sind. Das ist der Grund, weshalb ich mit meinem Antrag zu einem Artikel 23a Absatz Ibis (neu) nichts anderes als den ursprüng- lich vom Bundesrat vorgeschlagenen Absatz 2 wieder auf- nehme. Der Unterschied zum Antrag von Herrn Reymond: Bei ihm ist die Formulierung stringent und besagt, dass die Steuer um 50 Prozent ermässigt wird - der Prozentsatz ist also festge- setzt, wohingegen ich Ihnen beliebt mache, der Bundesrat könne die Steuer bis zu 50 Prozent ermässigen. Das wäre der aktuelle Stand. Er kann ihn aber auch weniger ermässigen; all dies in der Bandbreite, wie es Ihnen der Vorschlag zur Richtli- nie präsentiert Ich bitte Sie im Sinne der Abwägung der verschiedenen Inter- essen, meinem Antrag zuzustimmen. M. Reymond: Les propositions de Mme Simmen et de moi- même sont tellement semblables que c'est très volontiers que je retire la mienne au profit de la proposition de Mme Simmen. Bundesrat Stich: Wir sind bereit, den Antrag Simmen zu über- nehmen. Jagmetti: Ich nehme an, die Kommissionsmitglieder seien mir nicht sehr gram, wenn ich nicht erkläre, die Kommission habe anders beschlossen. Die Kommission hat die Frage auch erör- tert Der Bundesrat hat - wie Sie schon gehört haben - gegen- über der vervielfältigten Botschaft eine Korrektur vorgenom- men, und jetzt korrigieren wir zurück. Ich glaube nicht, dass ich die Kommissionsmeinung verfäl- sche, wenn ich jetzt nicht an der Kommissionsfassung, näm- lich derjenigen gemäss Bundesrat, festhalte, wenn der Bun- desrat schon einlenkt. Abs. 1-3-AI. 1-3 Angenommen -Adopté Abs. Ibis-AI. Ibis Angenommen gemäss Antrag Simmen Adopté selon la proposition Simmen Art. 27,28 Antrag der Kommission Zustimmung zum Entwurf des Bundesrates Proposition de la commission Adhérer au projet du Conseil fédéral M. Reymond, rapporteur: II s'agit là en fait de l'adaptation de normes techniques qui deviendront uniformes dans tous les pays de l'EEE. Je n'ai pas d'autres commentaires àfaire. Angenommen -Adopté Art. 29,30,32 Abs. 1,33 Antrag der Kommission Zustimmung zum Entwurf des Bundesrates Art. 29,30,32 al. 1,33 Proposition de la commission Adhérer au projet du Conseil fédéral ns du droit fédéral. M. Reymond, rapporteur: Pour ces articles, il s'agit de dispo- sitions qui deviennent caduques, du fait de la logique expri- mée à l'article 23a Angenommen -Adopté</w:t>
      </w:r>
    </w:p>
    <w:p>
      <w:r>
        <w:t>25. Äug usti 992 673 Eurolex. Zollgesetz Art. 40 Abs. 3 Bst. a, Abs. 4, Ziff. II Antrag der Kommission Zustimmung zum Entwurf des Bundesrates Art. 40 al. 3 let. a, al. 4, eh. II Proposition de la commission Adhérer au projet du Conseil fédéral M. Reymond, rapporteur: L'exigence du domicile en Suisse pour l'octroi des licences pour le commerce de gros est discri- minatoire au sens du traité et elle est donc supprimée. Angenommen -Adopté Gesamtabstimmung - Vote sur l'ensemble Für Annahme des Entwurfes</w:t>
      </w:r>
    </w:p>
    <w:p>
      <w:r>
        <w:rPr>
          <w:b/>
        </w:rPr>
        <w:t>E. 30</w:t>
      </w:r>
    </w:p>
    <w:p>
      <w:r>
        <w:t>Stimmen Dagegen 1 Stimme An den Nationalrat-Au Conseil national #ST# 92.057-10 EWR. Anpassung des Bundesrechts (Eurolex) Zollgesetz. Aenderung EEE. Adaptation du droit fédéral (Eurolex) Loi fédérale sur les douanes. Modification Botschaft l und Beschlussentwurf vom 27. Mai 1992 (BBIV1 ) Message l et projet d'arrêté du 27 mai 1992 (FF V1 ) Antrag der Kommission Eintreten Proposition de la commission Entrer en matière Büttiker, Berichterstatter: Im Rahmen von Eurolex-man kann es kaum glauben - ist im Zollgesetz ein einziger Artikel betrof- fen. Die Aenderung betrifft lediglich die sogenannte Kabotage, das heisst die Zulassung von Lastwagen aus dem EWR-Raum zum innerschweizerischen Güterverkehr. Dies ist eine Konse- quenz der Dienstleistungsfreiheit für Spediteure. Nach Arti- kel 15 Ziffer 1 Zollgesetz sind für Fahrzeuge, die vom Ausland her kommen, Personen und Waren transportieren und hierauf die Schweiz wieder verlassen, keine Zollbeträge zu bezahlen. Aufgrund dieser jetzt gültigen Bestimmung ist der Transport von Personen und Waren zwischen Ortschaften im Inland, so- genannte Binnentransporte oder Kabotage, ausgeschlossen. Die Artikel 47 bis 52 des EWR-Abkommens sehen aber die Gleichbehandlung aller im Europäischen Wirtschaftsraum an- sässigen Verkehrsteilnehmer vor. Gemäss EG-Verordnung, die Gegenstand des EWR-Abkommens bildet, müssen nun solche Binnentransporte im Sinn der Dienstleistungsfreiheit zugelassen werden. Artikel 15 des Zollgesetzes muss entspre- chend abgeändert werden. Die Kommission für Verkehr und Fernmeldewesen des Stän- derates ist für Eintreten und hat der Vorlage in der Gesamtab- stimmung mit 8 zu 0 Stimmen, also einstimmig, zugestimmt. Gestatten Sie mir noch eine Zusatzbemerkung: Artikel 15 Zif- fer 1 (Seite 199 der Botschaft 92.057/I) ist kein Meisterstück guter Gesetzessprache. Ich glaube, ein normaler Bürger wird diesen Satz kaum verstehen. Ich möchte Herrn Bundesrat Stich bitten, zuhanden des Zweitrates eine bessere, verständ- lichere Formulierung zu finden. Bundesrat Stich: Ich teile die Auffassung des Kommissions- präsidenten, dass man Artikel 15 Ziffer 1 zweiter Satz elegan- ter formulieren könnte. Aber vielleicht sollten wir uns hier der EG anpassen. Jagmetti: Ich erlaube mir, im Anschluss an die Bemerkung von Herrn Bundesrat Stich noch beizufügen: Die beiden Ver- ordnungen, die hier genannt werden, gelten ja automatisch ohne Umsetzung in nationales Recht Meines Erachtens kann man sie in der ausdrücklichen Erwähnung sehr wohl weglas- sen, ohne damit unseren Verpflichtungen des EWR nicht zu genügen. Nachdem wir das mit einem Mitglied der nationalrätlichen Kommission schon vorbesprochen und vereinbart haben, dürfte eine einfachere Regelung kommen. Eine solche drängt sich um so mehr auf, als offenbar davon auszugehen ist, dass diese Verordnungen per 1. Januar 1993 wieder geändert wer- den. Es wäre wirklich nicht sehr sinnvoll, EG-Verordnungen in ein nationales Gesetz zu schreiben, die beim Inkrafttreten des nationalen Rechts schon nicht mehr gelten würden. Ich wäre dankbar, wenn Herr Bundesrat Stich diesen Schritt zu einer einfacheren Formulierung mitbegleiten könnte. Bundesrat Stich: Auch das haben wir bei diesem Artikel be- reits berücksichtigt Aber ich bin trotzdem der Auffassung, dass man es einfacher machen könnte.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Entwurfes Dagegen An den Nationalrat-Au Conseil national 26 Stimmen 1 Stimme Präsidentin: Damit haben wir unsere Traktandenliste in gu- tem Marschtempo erledigt. Ich danke Ihnen für diese Fort- schritte. Schluss der Sitzung um n. 15 Uhr La séance est levée à 11 h 15</w:t>
      </w:r>
    </w:p>
    <w:p>
      <w:r>
        <w:t>Schweizerisches Bundesarchiv, Digitale Amtsdruckschriften Archives fédérales suisses, Publications officielles numérisées Archivio federale svizzero, Pubblicazioni ufficiali digitali 9 EWR. Anpassung des Bundesrechts (Eurolex) Bundesgesetz über die gebrannten Wasser (Alkoholgesetz) Aenderung EEE. Adaptation du droit fédéral (Eurolex) Loi fédérale sur l'alcool.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92.057-9 Numéro d'objet Numero dell'oggetto Datum 25.08.1992 - 08:00 Date Data Seite 667-673 Page Pagina Ref. No 20 021 539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