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92.057-28 vom 26. August 1992</w:t>
      </w:r>
    </w:p>
    <w:p>
      <w:r>
        <w:t>Bundesverwaltung, 1992-08-26, DE</w:t>
      </w:r>
    </w:p>
    <w:p>
      <w:r>
        <w:rPr>
          <w:b/>
        </w:rPr>
        <w:t xml:space="preserve">Quelle: </w:t>
      </w:r>
      <w:r>
        <w:t>https://mcp.opencaselaw.ch/entscheid/ch_vb_92.057-28</w:t>
      </w:r>
    </w:p>
    <w:p>
      <w:r>
        <w:t>FR: CH_VB 92.057-28 du 26 août 1992</w:t>
      </w:r>
    </w:p>
    <w:p>
      <w:r>
        <w:t>IT: CH_VB 92.057-28 del 26 agosto 1992</w:t>
      </w:r>
    </w:p>
    <w:p>
      <w:pPr>
        <w:pStyle w:val="Heading2"/>
      </w:pPr>
      <w:r>
        <w:t>Erwägungen</w:t>
      </w:r>
    </w:p>
    <w:p>
      <w:r>
        <w:rPr>
          <w:b/>
        </w:rPr>
        <w:t>E. 26</w:t>
      </w:r>
    </w:p>
    <w:p>
      <w:r>
        <w:t>août 1992 Bundesrat Cotti: Nach meiner Erinnerung gibt es auch andere Fälle, wo Departemente erwähnt werden. Dasses hier eine ab- solute Parallelität in der Gesetzgebung gäbe, würde ich je- doch nicht zu behaupten wagen. Es schadet aber nicht, dass das Departement ausdrücklich erwähnt wird. Angenommen -Adopté Art. 5 Antrag der Kommission Zustimmung zum Entwurf des Bundesrates Proposition de la commission Adhérer au projet du Conseil fédéral Angenommen -Adopté Art. 6 Antrag der Kommission .... Einrichtungen und Geräten. (Rest des Satzes streichen) Art. 6 Proposition de la commission .... techniques. (Biffer le reste de la phrase) Onken, Berichterstatter: Bei Artikel 6 haben wir nur den Begriff in Klammern am Schluss des Satzes gestrichen, weil uns das Wort «Marktüberwachung» etwas missverständlich erschien. Es ist zwar ein gängiger Begriff, der namentlich auch im Berei- che der Europäischen Gemeinschaft gebraucht wird. Aber im Grunde genommen ist er hier im Gesetz nicht erforderlich. Der Satz sagt klar aus, dass es um die nachträgliche Kontrolle geht; deshalb kann der Zusatz, der zu Missverständnissen An- lass geben könnte, gestrichen werden. Angenommen -Adopté Art. 7 Antrag der Kommission .... durch Vollzugsorgane können Gebühren erhoben werden. Das Departement erlässt die Gebührenordnung. Art. 7 Proposition de la commission Pour les contrôles ultérieurs des installations et appareils tech- niques, des émoluments peuvent être perçus. Le département réglemente ces émoluments. Onken, Berichterstatter: In Artikel 7 haben wir ebenfalls eine Modifikation vorgenommen, die sich materiell nicht auswirkt, sondern lediglich eine Klarstellung bedeutet Der Artikel ist in zwei Sätze unterteilt worden: Der erste Satz enthält den Grund- satz, dass Gebühren für die nachträglichen Kontrollen erho- ben werden können. Der zweite Satz besagt, dass das Departement «Gebühren- ordnungen» erlässt Hier ist noch eine kleine, eher redaktio- nelle Aenderung zu berücksichtigen. Auf der Ihnen ausgeteil- ten Fahne lautet der Satz gemäss Kommission: «Das Departe- ment erlässt Gebührenordnungen.» Die Kommission ist je- doch der Auffassung, dass es wahrscheinlich nur eine einzige Gebührenordnung sein wird. In Uebereinstimmung mit dem Antragsteller Jagmetti möchte ich beliebt machen, dass wir den Satz so formulieren: «Das Departement erlässt die Gebührenordnung. » Angenommen -Adopté Art. 8; 10 Abs. 1,2; 11 Abs. 1,2 Antrag der Kommission Zustimmung zum Entwurf des Bundesrates Art. 8; 10 al. 1,2; 11 al. 1,2 Proposition de la commission Adhérer au projet du Conseil fédéral Angenommen -Adopté Ziff. Il Antrag der Kommission Zustimmung zum Entwurf des Bundesrates Ch.ll Proposition de la commission Adhérer au projet du Conseil fédéral Präsidentin: Hier gilt der übliche Vorbehalt Angenommen -Adopté Gesamtabstimmung - Vote sur l'ensemble Für Annahme des Entwurfes Dagegen An den Nationalrat-Au Conseil national</w:t>
      </w:r>
    </w:p>
    <w:p>
      <w:r>
        <w:rPr>
          <w:b/>
        </w:rPr>
        <w:t>E. 27</w:t>
      </w:r>
    </w:p>
    <w:p>
      <w:r>
        <w:t>Stimmen Dagegen 1 Stimme An den Nationalrat-Au Conseil national #ST# 92.057-29 EWR. Anpassung des Bundesrechts (Eurolex) Bundesgesetz über die Krankenversicherung. Aenderung EEE. Adaptation du droit fédéral (Eurolex) Loi fédérale sur l'assurance-maladie. Modification Botschaft II und Beschlussentwurf vom 15. Juni 1992 (BBIV520) Message II et projet d'arrêté du 15 juin 1992 (FF V 506) Antrag der Kommission Eintreten Proposition de la commission Entrer en matière Huber, Berichterstatter: Nach den Ausführungen der Bot- schaft und den Vorschlägen zerfällt die Anpassung des KVG in drei Teile, wobei offensichtlich ist, dass wir unser Sozialversi- cherungsrecht beibehalten, es selbständig weiterentwickeln können, aber im Rahmen des EWR beim Ausgleich der Folgen der so gepriesenen Freizügigkeit der Personen mitengagiert sind. Es ist sicherzustellen, dass ihnen aus der Ausübung die- ser Freiheit keine materiellen und sozialen Nachteile erwach- sen. Ferner sind die Grundsätze der horizontalen Politiken an- zuwenden, in concreto die Gleichstellung von Mann und Frau im Bereich der Mitgliederbeiträge. Schliesslich enthält die Botschaft Aussagen über das Verhält- nis zwischen Sozialversicherungsverträgen und dem EWR- Recht Dazu gleich beim Eintreten eine kurze Bemerkung: Die Ziffer 3.2/1.1 auf Seite 35 der Botschaft II beschäftigt sich mit der Klärung der Frage des Verhältnisses von Sozialabkom- men zum EWR-Recht Sofern es sich um Sozialabkommen mit einem EWR-Staat handelt, gehen die Bestimmungen des EWR-Rechts vor. Das entsprechende Verordnungsrecht - man kann es nicht häufig genug sagen - ist direkt anwendbar. Der Bundesrat schlägt vor, auf eine formelle Anpassung im schweizerischen Recht zu verzichten. In Ihrer Kommission ist diesbezüglich kein Widerspruch ent- standen. Ein Antrag wurde nicht gestellt Die Kommission beantragt Ihnen einhellig Eintreten auf den Bundesbeschluss über die Aenderung der Krankenversiche- rungsgesetzes. Eintreten wird ohne Gegenantrag beschlossen Le conseil décide sans opposition d'entrer en matière Detailberatung - Discussion par articles Titel und Ingress, Ziff. l Ingress Antrag der Kommission Zustimmung zum Entwurf des Bundesrates Titre et préambule, eh. l préambule Proposition de la commission Adhérer au projet du Conseil fédéral Angenommen -Adopté Art.6bisAbs.2 Antrag der Kommission Zustimmung zum Entwurf des Bundesrates Art.6bisal.2 Proposition de la commission Adhérer au projet du Conseil fédéral Huber, Berichterstatter: Die Abänderung von Artikel 6bis Ab- satz 2, Mitgliederbeiträge, wird dem mit dem Sozialversiche- rungsrecht nicht Vertrauten ein immenses Problem aufgeben, weil er nämlich prima vista nicht erkennt, welches die Aende- rung ist. In Tat und Wahrheit wird aus der Aussage «Die Mitglie- derbeiträge können nach Eintrittsalter, nach Geschlecht und nach örtlich bedingten Kostenunterschieden abgestuft werden» das Kriterium «nach Geschlecht» einfach ersatzlos gestrichen. Es ist bekannt, dass bereits heute sehr grosse Solidaritäten zwischen Männern und Frauen im Bereich der Prämien der Krankenversicherung bestehen. Das kommt daher, dass das Gesetz, wie die Botschaft darlegt, den Prämienunterschied begrenzt und vorschreibt, er dürfe zehn Prozent nicht über- schreiten. Ich will die Frage hier nun nicht aufwerfen, ob es sich um einen Anwendungsfall des Gleichberechtigungsartikels handelt oder um eine gewollte Solidarität zwischen Mann und Frau. Entscheidend in dieser Frage ist, dass sowohl die Experten- kommission Schoch wie auch Ihre vorberatende Kommission für das neue Krankenversicherungsgesetz dem Antrag des Bundesrates gefolgt sind und im Entwurf zu einem neuen KVG die Prämiengleichheit einführen wollen. Das macht es nun der Kommission ausserordentlich leicht, Ihnen zu empfehlen, der Neufassung von Artikel 6bis Absatz 2 KVG zuzustimmen, d. h. den Artikel 70 des EWR-Abkommens und die Richtlinien Nr. 79/7undNr. 86/378aufdenTatbestandzurAnwendungzu bringen. Damit entfällt das Geschlecht als Differenzierungsele- ment bei den Kassenprämien. Auf Anfrage hin hat das BSV die finanziellen Folgen der Einfüh- rung der Prämiengleichheit von Mann und Frau unter heuti- gem Recht präzisiert Es hat dazu wie folgt Auskunft gegeben: «Die Einführung der Prämiengleichheit zwischen Männern und Frauen wird zur Folge haben, dass bei gleichbleibenden Kosten die Männerprämien im Schnitt um etwa 5,5 Prozent an- steigen. Der Anstieg liegtüberS Prozent, weil es unter den Ver- sicherten etwas mehr Frauen als Männer gibt. Die Frauenprä- mie wird auf das Niveau der Männerprämie absinken. Faktisch wird es daher so sein, dass im nächsten Jahr, bei Einführung der Prämiengleichheit, wegen der Kostensteigerung auch die Frauenprämien ansteigen werden, allerdings weniger stark als die Männerprämien. In der Unfallversicherung - Nichtberufsunfallversicherung - wird die Prämiengleichheit übrigens mit umgekehrtem Vorzei- chen eingeführt. Dort beträgt die Männerprämie heute 14,125 Promille des versicherten Verdienstes, die Frauenprä- mie 8,475 Promille. Im nächsten Jahr wird die Suva voraus- sichtlich einen einheitlichen Prämiensatz von 13,6 Promille einführen. Die Einführung der Prämiengleichheit muss unseres Erach- tens nicht durch zusätzliche Bundesbeiträge abgegolten wer- den. Schon heute werden für die Frauen insgesamt mehr Bun-</w:t>
      </w:r>
    </w:p>
    <w:p>
      <w:r>
        <w:t>Schweizerisches Bundesarchiv, Digitale Amtsdruckschriften Archives fédérales suisses, Publications officielles numérisées Archivio federale svizzero, Pubblicazioni ufficiali digitali EWR. Anpassung des Bundesrechts (Eurolex) Bundesgesetz über die berufliche Alters-, Hinterlassenen- und Invalidenvorsorge. Aenderung EEE. Adaptation du droit fédéral (Eurolex) Loi fédérale sur la prévoyance professionnelle vieillesse, survivants et invalidité.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03 Séance Seduta Geschäftsnummer 92.057-28 Numéro d'objet Numero dell'oggetto Datum 26.08.1992 - 08:00 Date Data Seite 690-698 Page Pagina Ref. No 20 021 544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