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92.057-20 vom 25. August 1992</w:t>
      </w:r>
    </w:p>
    <w:p>
      <w:r>
        <w:t>Bundesverwaltung, 1992-08-25, DE</w:t>
      </w:r>
    </w:p>
    <w:p>
      <w:r>
        <w:rPr>
          <w:b/>
        </w:rPr>
        <w:t xml:space="preserve">Quelle: </w:t>
      </w:r>
      <w:r>
        <w:t>https://mcp.opencaselaw.ch/entscheid/ch_vb_92.057-20</w:t>
      </w:r>
    </w:p>
    <w:p>
      <w:r>
        <w:t>FR: CH_VB 92.057-20 du 25 août 1992</w:t>
      </w:r>
    </w:p>
    <w:p>
      <w:r>
        <w:t>IT: CH_VB 92.057-20 del 25 agosto 1992</w:t>
      </w:r>
    </w:p>
    <w:p>
      <w:pPr>
        <w:pStyle w:val="Heading2"/>
      </w:pPr>
      <w:r>
        <w:t>Erwägungen</w:t>
      </w:r>
    </w:p>
    <w:p>
      <w:r>
        <w:rPr>
          <w:b/>
        </w:rPr>
        <w:t>E. 25</w:t>
      </w:r>
    </w:p>
    <w:p>
      <w:r>
        <w:t>août 1992 Artikel 20 führt die Erlöschungsgründe auf und entspricht zu einem grossen Teil den Bestimmungen von Artikel 9 des Anag. Die in Absatz 1 aufgeführten Bewilligungen erlöschen, wenn deren Verlängerung bei der Abmeldung ins Ausland, bei der Ausweisung oder Heimschaffung sowie bei einer mehr als sechs Monate dauernden Landesabwesenheit verweigert wurde. Hier wurde im Rahmen des Vernehmlassungsverfahrens vor- gebracht, die Möglichkeit für die Fristverlängerung bei einer tatsächlichen Abwesenheit im Ausland sei zu unverbindlich oder zu restriktiv formuliert Inhaber von EWR-Bewilligungen sollten einen Anspruch auf einen Auslandaufenthalt von ein bis zwei Jahren haben. Auch hier entspricht Artikel 20 dem EWR-Recht, und es ist unseres Erachtens mit Recht darauf verzichtet worden, im Rahmen dieser Vorlage weiter gehende Erleichterungen zu schaffen, die dann auch ohne Gegenrecht eingeführt werden müssten. Angenommen -Adopté Art. 21 Antrag der Kommission Abs.1,2,3Bst.a,b Zustimmung zum Entwurf des Bundesrates Abs. 3Bst. c Streichen Art. 21 Proposition de la commission Al. 1,2,3let.a,b Adhérer au projet du Conseil fédéral AI.3Bst.c Biffer Rhinow, Berichterstatter: Bei Artikel 21 unterbreiten wir Ihnen in Absatz 3 wiederum einen Streichungsantrag. In Artikel 8 Absatz 1 Buchstabe b wird festgehalten, dass EWR-Angehörige ihre Familienangehörigen nachziehen las- sen können, wenn sie eine Aufenthaltsbewilligung EWR besit- zen und eine angemessene Wohnung zur Verfügung steht An sich wäre es selbstverständlich, dass bei Wegfall dieser Bedin- gung der allgemeine Grundsatz von Artikel 21 Absatz 1 An- wendung findet, d. h. der Widerruf möglich ist, wenn die Vor- aussetzungen für die Erteilung nicht mehr erfüllt sind. Nun hat aber der Europäische Gerichtshof entschieden, dass der Wegfall der angemessenen Wohnung nach erfolgtem Fa- miliennachzug nicht automatisch zum Widerruf der Aufent- haltsbewilligung Anlass geben darf. Dies hat dazu geführt, dass in Absatz 3 Buchstabe c ein eigener Passus verankert wurde, mit welchem diese Rechtsprechung festgehalten wer- den soll. Die Kommission war hier nicht der Meinung des Bundesrates. Wohl ist diese Praxis für die Schweiz verbindlich. Es steht je- doch im gegenwärtigen Zeitpunkt nicht fest, ob sie in dieser Absolutheit fortgeführt wird. Zudem dürfte sich die in der Ver- ordnung angestrebte 6-Monats-Frist - wie wir auch heute von Herrn Bundesrat Koller gehört haben - nicht unbedingt und nicht zweifelsfrei mit der vorliegenden Formulierung von Ab- satz 3 Buchstabe b vertragen. Es schien deshalb der Kommis- sion nicht zweckmässig, diese Ausnahme nur gestützt auf die Rechtsprechung des Gerichtshofes so zu verankern und da- mit auch ein Stück weit zu verfestigen. Sie möchte diese Aus- nahme daher streichen. Es ist aber festzuhalten, dass diese Streichung nicht eine Ab- weichung von der Rechtsprechung des Europäischen Ge- richtshofes signalisieren will, sondern eine der Entwicklung der Praxis adäquate Handhabung durch die schweizerischen Behörden. Bundesrat Koller: Ich bin mit der Streichung einverstanden. Ich habe in der Eintretensdebatte in Beantwortung der Frage von Herrn Bisig daraufhingewiesen, wie wir dieses Problem zu lösen gedenken. Im übrigen verweise ich auf die Ausführungen Ihres Kommis- sionspräsidenten. Angenommen -Adopté Art. 22-28 Antrag der Kommission Zustimmung zum Entwurf des Bundesrates Proposition de la commission Adhérer au projet du Conseil fédéral Angenommen -Adopté Gesamtabstimmung - Vote sur l'ensemble Für Annahme des Entwurfes</w:t>
      </w:r>
    </w:p>
    <w:p>
      <w:r>
        <w:rPr>
          <w:b/>
        </w:rPr>
        <w:t>E. 30</w:t>
      </w:r>
    </w:p>
    <w:p>
      <w:r>
        <w:t>Stimmen Dagegen 1 Stimme An den Nationalrat-Au Conseil national #ST# 92.057-22 EWR. Anpassung des Bundesrechts (Eurolex) Beamtengesetz. Aenderung EEE. Adaptation du droit fédéral (Eurolex) Statut des fonctionnaires. Modification Botschaft l und Beschlussentwurf vom 27. Mai 1992 (BBIV1 ) Message l et projet d'arrêté du 27 mai 1992 (FF V1 ) Antrag der Kommission Eintreten Proposition de la commission Entrer en matière Frick, Berichterstatter: Die Artikel 4 und 28 des EWR-Abkom- mens verlangen die volle Freizügigkeit für die Arbeitnehmer des ganzen EWR. Absatz 4 von Artikel 28 des Abkommens hingegen schliesst diese Freizügigkeit für Beschäftigungen im öffentlichen Dienst aus. Nun fällt aber unter den Begriff des öf- fentlichen Dienstes nicht jede Beamtung, sondern nur die ei- gentliche Hoheitsverwaltung. Der Begriff ist also leider miss- verständlich. Unter die Hoheitsverwaltung fallen nach Auffas- sung der EG-Kommission - diese Meinungsäusserung ist massgebend, solange der Europäische Gerichtshof nicht an- ders geurteilt hat - im wesentlichen Militär, Polizei, Justiz, Di- plomatie und eigenartigerweise, Herr Bundesrat, auch die Fi- nanzverwaltung. Alle übrigen Beamtungen, also die ganze Dienstleistungsverwaltung wie PTT, Bahn, Forst, Wissenschaft usw., stehen allen EWR-Bürgerinnen und -Bürgern offen. Aus diesem Grunde ist der Grundsatz von Artikel 2 des Beam- tengesetzes, der als Regelfall bisher nur für Schweizer Bürger die Beamtungen zur Verfügung stellte, abzuändern. Er ist auf alle EWR-Bürger auszudehnen; davon auszunehmen sind nur die Hoheitsaufgaben des Staates. Eintreten ist zwingend. Das EWR-Abkommen lässt hier keinen Spielraum offen. Die Kommission beantragt Ihnen einstimmig Eintreten. Den Antrag auf Aenderung von Artikel 2 Absatz 2 werde ich Ih- nen im Rahmen der Detailberatung erläutern. Eintreten wird ohne Gegenantrag beschlossen Le conseil décide sans opposition d'entrer en matière Detailberatung - Discussion par articles</w:t>
      </w:r>
    </w:p>
    <w:p>
      <w:r>
        <w:t>Schweizerisches Bundesarchiv, Digitale Amtsdruckschriften Archives fédérales suisses, Publications officielles numérisées Archivio federale svizzero, Pubblicazioni ufficiali digitali EWR. Anpassung des Bundesrechts (Eurolex) Aufenthalt und Niederlassung der Staatsangehörigen von Staaten des Europäischen Wirtschaftsraums. Bundesbeschluss EEE. Adaptation du droit fédéral (Eurolex) Séjour et établissement des ressortissants des autres Etats de l'Espace économique européen. Arrêté fédéral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02 Séance Seduta Geschäftsnummer 92.057-20 Numéro d'objet Numero dell'oggetto Datum 25.08.1992 - 08:00 Date Data Seite 659-666 Page Pagina Ref. No 20 021 537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