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91.427 vom 18. März 1993</w:t>
      </w:r>
    </w:p>
    <w:p>
      <w:r>
        <w:t>Bundesverwaltung, 1993-03-18, DE</w:t>
      </w:r>
    </w:p>
    <w:p>
      <w:r>
        <w:rPr>
          <w:b/>
        </w:rPr>
        <w:t xml:space="preserve">Quelle: </w:t>
      </w:r>
      <w:r>
        <w:t>https://mcp.opencaselaw.ch/entscheid/ch_vb_91.427</w:t>
      </w:r>
    </w:p>
    <w:p>
      <w:r>
        <w:t>FR: CH_VB 91.427 du 18 mars 1993</w:t>
      </w:r>
    </w:p>
    <w:p>
      <w:r>
        <w:t>IT: CH_VB 91.427 del 18 marzo 1993</w:t>
      </w:r>
    </w:p>
    <w:p>
      <w:pPr>
        <w:pStyle w:val="Heading2"/>
      </w:pPr>
      <w:r>
        <w:t>Erwägungen</w:t>
      </w:r>
    </w:p>
    <w:p>
      <w:r>
        <w:rPr>
          <w:b/>
        </w:rPr>
        <w:t>E. 18</w:t>
      </w:r>
    </w:p>
    <w:p>
      <w:r>
        <w:t>März 1993 N 491 Parlamentarische Initiative. Elektronische Abstimmung Prêter ou mettre à disposition des capitaux du 2e pilier à un taux d'intérêts inférieur à celui du marché est contraire au but de la prévoyance professionnelle, et je ne crois pas qu'on puisse, comme M. Carobbio, prétendre que cet argument n'est pas valable et que la question de la rentabilité ou du ren- dement des fonds est quand même assurée, car vraiment, là, 11 n'y a pas de miracle. Ce qui diffère fondamentalement entre cette initiative et le projet que nous avons «absous» tout à l'heure sur la question de l'accès à la propriété du logement, c'est que, dans ce cas-là, on fait supporter aune partie des as- surés les avantages procurés à d'autres, alors que le projet sur l'accession à la propriété fait supporter aux bénéficiaires de la mesure les frais ou les charges qui résultent de l'avantage qu'ils retirent. Il n'y a donc pas de redistribution entre les assurés. Pour toutes ces raisons, la majorité de la commission, par 12 voix contre 8, vous propose de rejeter l'initiative de M. Carobbio. Abstimmung - Vote Für den Antrag der Mehrheit (keine Folge geben) 80 Stimmen Für den Antrag der Minderheit (Folge geben) 33 Stimmen #ST# 90.254 Parlamentarische Initiative (Büro des Nationalrates) Elektronische Abstimmung im Nationalrat Initiative parlementaire (Bureau du Conseil national) Vote électronique au Conseil national Zweite Lesung - Deuxième lecture Siehe Jahrgang 1992, Seite 2042 - Voir année 1992, page 2042 Kategorie III, Art. 68 GRN-Catégorie III, art. 68RCN Herr Schmidhalter unterbreitet im Namen des Büros den fol- genden schriftlichen Bericht: Am 7. Oktober 1992 hat der National rat die Vorlage zur elektro- nischen Abstimmung in erster Lesung behandelt. Er be- schloss mit 62 zu 61 Stimmen Eintreten und stimmte in der Detailberatung einem Ergänzungsantrag zu, mit dem in einem neuen Absatz 5 zu Artikel 81 des Geschäftsreglements des Nationalrates (GRN) das elektronische Abstimmungsverfah- ren in drei Phasen mit jeweiligem Aufstehen vorgeschrieben wurde. In der Gesamtabstimmung verwarf der Nationalrat die Vorlage mit 62 gegen 54 Stimmen. Aufgrund der Ratsverhandlung beantragt Ihnen das Büro zwei technische Aenderungen zum elektronischen Abstimmungs- verfahren, wie es im Bericht vom 28. September 1992 vorge- schlagen wurde, sowie neue Benutzungsregeln. Die Aende- rungen tragen den in den Beratungen geäusserten Einwän- den Rechnung. Aufgrund der Artikel 21ter und 21quater des Geschäftsver- kehrsgesetzes unterbreiten wir Ihnen in der Beilage den Ent- wurf zu einer Aenderung des Geschäftsregelementes des Na- tionalrates vom 22. Juni 1990. 1. Technische Aenderungen 1.1 Verhinderung von Missbräuchen Um zu verhindern, dass ein Ratsmitglied parallel zur eigenen Stimmabgabe das Abstimmungsgerät einer abwesenden Ratsnachbarin oder eines abwesenden Ratsnachbarn betäti- gen kann, schlägt das Büro ein Abstimmungssystem vor, bei dem zur Stimmabgabe gleichzeitig zwei Eingabetasten betä- tigt werden müssen. Diese beiden Tasten sind so angeordnet, dass zu ihrer Bedienung beide Hände erforderlich sind. Ein vergleichbares Eingabesystem steht in Israel in der Knesset im Einsatz. 1.2 Unmittelbare Transparenz Die Forderung nach unmittelbarer Transparenz wird von kei- ner Fraktion bestritten. In der Vorlage vom September 1992 war vorgesehen, die bisherige Stimmabgabe durch Aufstehen beizubehalten, um diese Transparenz zu gewährleisten. Das Büro beantragt Ihnen nun, auf dieses Verfahren zu verzichten und es durch eine Anzeige der schematischen Sitzordnung auf den Anzeigetafeln zu ersetzen. Auf dieser schematischen Sitzordnung wird für jeden Platz die entsprechende persönli- che Stimmabgabe durch Aufleuchten einer Lampe in für «ja», «nein» und «Enthaltung» unterschiedlicher Farbe angezeigt Bei diesem Verfahren könnten die Ratsmitglieder die Stimm- abgabe ihrer Fraktionskolleginnen und -kollegen verfolgen und gleichzeitig kontrollieren, ob die eigene Stimmabgabe richtig registriert worden ist. Anders als das Abstimmungser- gebnis wird die persönliche Stimmabgabe unmittelbar ange- zeigt, sobald die beiden Eingabetasten korrekt betätigt wor- den sind. Bei dieser Anzeigeweise muss die elektronische Ab- stimmung nicht mehr mit jeweiligem Aufstehen kombiniert werden. Jedoch wird - und dies ist wichtig - die gleichzeitige Stimmabgabe zur Regel, was zu einer gewissen Beschleuni- gung des Abstimmungsverfahrens führen wird. Um eine ge- wisse Flexibilität des Verfahrens zu wahren, schlägt das Büro aber vor, im technischen Pflichtenheft sowohl die gleichzeitige Stimmabgabe wie die Stimmabgabe in drei Phasen als mögli- che Alternativen festzuhalten. Was die Aesthetik betrifft, so ist darauf hinzuweisen, dass die Anzeigetafeln wegen ihres Gewichts und ihrer Grosse sowie wegen der komplizierten Verkabelung ausserhalb der Sessio- nen nicht mehr, wie ursprünglich vorgesehen, demontiert wer- den können. 2. Verfahren Entsprechend den soeben dargestellten technischen Aende- rungen schlägt das Büro ein neues Verfahren vor, das auf fol- genden Regeln beruht: a die elektronische Stimmabgabe wird zur Regel; die gegen- wärtigen Abstimmungsverfahren mit jeweiligem Aufstehen und mit Namensaufruf werden nur noch bei geheimen Bera- tungen oder bei Defekten der elektronischen Anlage ange- wendet; b. die Ratsmitglieder stimmen sitzend und gleichzeitig ab; das Büro verspricht sich von dieser Neuerung einen beschleunig- ten Abstimmungsverlauf; das technische Pflichtenheft wird je- doch auch weiterhin die Möglichkeit der Stimmabgabe in drei Phasen enthalten; c. sämtliche Abstimmungsdaten werden gespeichert, aber Namenslisten mit dem individuellen Stimmverhalten werden nur in vier Fällen veröffentlicht: - bei Gesamtabstimmungen - bei Schlussabstimmungen - bei Abstimmungen über die Dringlichkeit - auf schriftlichen Antrag von mindestens 30 Ratsmitgliedern. Die Aenderung des Geschäftsreglements bleibt während ei- nes Jahres in Kraft. Vor Ablauf dieser Frist muss der Rat die Frage erneut behandeln und den Erlass entweder verlängern oder eine endgültige Aenderung seines Geschäftsreglements beschliessen. Wird kein Beschluss gefasst, so kehrt man zur heutigen Praxis ohne elektronische Abstimmung zurück. Das Büro schlägt eine solche Uebergangsphase vor, weil ein radi- kaler Wechsel zur neuen Technik Auswirkungen haben könnte, die heute noch nicht absehbar sind. Auf diese Weise könnte die Diskussion in voller Kenntnis der Sachlage wieder- aufgenommen werden. 3. Aenderung des Geschäftsreglements des Nationalrates Eintreten Die Kommissionsminderheit hält ihren Antrag auf Nichteintre- ten aufrecht.</w:t>
      </w:r>
    </w:p>
    <w:p>
      <w:r>
        <w:t>Schweizerisches Bundesarchiv, Digitale Amtsdruckschriften Archives fédérales suisses, Publications officielles numérisées Archivio federale svizzero, Pubblicazioni ufficiali digitali Parlamentarische Initiative (Carobbio) Zinsgünstige Wohnungen. Finanzierung durch die 2. Säule Initiative parlementaire (Carobbio) Logements à loyer modéré. Financement au moyen des fonds du 2e pilier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14 Séance Seduta Geschäftsnummer 91.427 Numéro d'objet Numero dell'oggetto Datum 18.03.1993 - 08:00 Date Data Seite 486-491 Page Pagina Ref. No</w:t>
      </w:r>
    </w:p>
    <w:p>
      <w:r>
        <w:rPr>
          <w:b/>
        </w:rPr>
        <w:t>E. 20</w:t>
      </w:r>
    </w:p>
    <w:p>
      <w:r>
        <w:t>022 400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