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91.420 vom 19. März 1993</w:t>
      </w:r>
    </w:p>
    <w:p>
      <w:r>
        <w:t>Bundesverwaltung, 1993-03-19, DE</w:t>
      </w:r>
    </w:p>
    <w:p>
      <w:r>
        <w:rPr>
          <w:b/>
        </w:rPr>
        <w:t xml:space="preserve">Quelle: </w:t>
      </w:r>
      <w:r>
        <w:t>https://mcp.opencaselaw.ch/entscheid/ch_vb_91.420</w:t>
      </w:r>
    </w:p>
    <w:p>
      <w:r>
        <w:t>FR: CH_VB 91.420 du 19 mars 1993</w:t>
      </w:r>
    </w:p>
    <w:p>
      <w:r>
        <w:t>IT: CH_VB 91.420 del 19 marzo 1993</w:t>
      </w:r>
    </w:p>
    <w:p>
      <w:pPr>
        <w:pStyle w:val="Heading2"/>
      </w:pPr>
      <w:r>
        <w:t>Erwägungen</w:t>
      </w:r>
    </w:p>
    <w:p>
      <w:r>
        <w:rPr>
          <w:b/>
        </w:rPr>
        <w:t>E. 19</w:t>
      </w:r>
    </w:p>
    <w:p>
      <w:r>
        <w:t>März 1993 N 547 Parlamentarische Initiative. Werbemethoden lieh, ohne die Freiheit des Handels und der Industrie zu beein- trächtigen. Nach der Meinung der Kommissionsmehrheit müssen die Gutgläubigen vor ihrer Gutgläubigkeit geschützt werden, damit sie nicht in finanzielle Nöte geraten. Einige Kommissionsmitglieder zweifeln an der Wirkung neuer Gesetzesbestimmungen. Sie zögen es vor, wenn der Verband des Schweizerischen Versandhandels dafür sorgte, dass die Unternehmen ihrer Branche ihren Ehrenkodex unterzeichnen. Sie betonen überdies, wie wichtig es sei, die Bevölkerung über zweifelhafte Werbemethoden gut zu informieren, sei dies nun durch die Konsumentenorganisationen oder über die Medien. Sendungen wie der «Kassensturz» leisteten dabei einen wich- tigen Beitrag. In den Augen der Kommissionsminderheit sind die Forderun- gen der Initiative mit der bestehenden Gesetzgebung, d. h. mit dem Gesetz gegen den unlauteren Wettbewerb und mit dem Bundesgesetz vom 8. Juni 1923 betreffend die Lotterien und die gewerbsmässigen Wetten, bereits erfüllt. Zudem sei das UWG erst 1988 in Kraft getreten, und eine gewisse Zeit sei not- wendig, um die Rechtsprechung zu entwickeln. Die Kommission hat die Europafrage ebenfalls mit einbezo- gen. Nach dem Vertreter des Biga bringt der EWR auf diesem Gebiet keinerlei Aenderung. Zwar gebe es eine EG-Richtlinie über die trügerische Werbung, sie sei aber durch unser Gesetz gegen den unlauteren Wettbewerb vollständig abgedeckt Um das weitere Vorgehen festzulegen, wartet die Kommission das Urteil des Zuger Kantonsgerichts zu der Klage des West- schweizer Konsumentinnenforums gegen das Versandhaus Kurfürst ab. Der Prozess ist seit drei Jahren hängig, und die Kommission erwartet dieses Urteil mit grossem Interesse. Denn wenn das Gericht im Sinne von Herrn Reimanns Initia- tive entscheidet, lässtsich sicher sagen, dass die gesetzlichen Grundlagen ausreichen und dass das Zuger Kantonsgericht das durch die Initiative aufgeworfene Problem gelöst hat. In Erwartung dieses Urteils hält es die Kommission für nötig, der Initiative Folge zu geben als Zeichen dafür, dass die zwei- felhaften Werbemethoden ernsthaft bekämpft werden sollen. 6. Urteil von Zug Das erstinstanzliche Zuger Zivilgericht hat am 17. März 1992 sein Urteil verkündet. Das Gewinnspiel, das Kurfürst lanciert hatte, wurde als «trügerisch und unlauter» und somit als geset- zeswidrig im Sinne des Gesetzes gegen den unlauteren Wett- bewerb erkannt. Ganz durchgedrungen ist das Westschwei- zer Konsumentinnenforum allerdings nicht: Es hatte sich auch gegen die Verwechselbarkeit der Teilnahmescheine mit den Bestellscheinen für Kurfürst-Waren gewehrt. Das Gericht hat diese Verwechselbarkeit nicht bemängelt. Obwohl das Urteil den jedem «Sweepstake» innewohnenden Grundsatz nicht angetastet hat, liess das Versandhaus Kur- fürst dennoch in einer Pressemitteilung verlauten, dass es die Konsequenzen aus diesem Urteil ziehe und endgültig auf diese Werbemethode verzichten wolle. 7. Beschluss der Kommission für Wirtschaft und Abgaben des Nationalrates vom 10. September 1992 Aufgrund des Urteils des Zuger Zivilgerichts beschloss die Kommission, auf ihren Entscheid vom 9. Januar 1992 zurück- zukommen. Angesichts der Tatsache, dass das Urteil den For- derungen der Initiative genügend Rechnung trägt, beantragt die Kommission, der Initiative keine Folge zu geben. M. Matthey présente au nom de la commission le rapport écrit suivant: Nous vous soumettons, conformément à l'article 21 ter de la loi sur les rapports entre les conseils, le rapport de la commission chargée du préavis sur l'initiative parlementaire déposée le</w:t>
      </w:r>
    </w:p>
    <w:p>
      <w:r>
        <w:rPr>
          <w:b/>
        </w:rPr>
        <w:t>E. 20</w:t>
      </w:r>
    </w:p>
    <w:p>
      <w:r>
        <w:t>022 415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